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7F0" w14:textId="0B857818" w:rsidR="002C2393" w:rsidRPr="002C2393" w:rsidRDefault="002C2393">
      <w:pPr>
        <w:pStyle w:val="TOCHeading"/>
      </w:pPr>
      <w:r w:rsidRPr="002C2393">
        <w:t>Costing Resources for Researchers</w:t>
      </w:r>
    </w:p>
    <w:sdt>
      <w:sdtPr>
        <w:rPr>
          <w:rFonts w:asciiTheme="minorHAnsi" w:eastAsiaTheme="minorHAnsi" w:hAnsiTheme="minorHAnsi" w:cstheme="minorBidi"/>
          <w:color w:val="auto"/>
          <w:sz w:val="22"/>
          <w:szCs w:val="22"/>
          <w:lang w:val="en-GB"/>
        </w:rPr>
        <w:id w:val="110401970"/>
        <w:docPartObj>
          <w:docPartGallery w:val="Table of Contents"/>
          <w:docPartUnique/>
        </w:docPartObj>
      </w:sdtPr>
      <w:sdtEndPr>
        <w:rPr>
          <w:b/>
          <w:bCs/>
          <w:noProof/>
        </w:rPr>
      </w:sdtEndPr>
      <w:sdtContent>
        <w:p w14:paraId="6917E4E0" w14:textId="083EA52F" w:rsidR="00D547D7" w:rsidRDefault="00D547D7">
          <w:pPr>
            <w:pStyle w:val="TOCHeading"/>
          </w:pPr>
          <w:r>
            <w:t>Contents</w:t>
          </w:r>
        </w:p>
        <w:p w14:paraId="327C968C" w14:textId="77777777" w:rsidR="004C6446" w:rsidRDefault="00D547D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99287706" w:history="1">
            <w:r w:rsidR="004C6446" w:rsidRPr="00D12AA6">
              <w:rPr>
                <w:rStyle w:val="Hyperlink"/>
                <w:noProof/>
              </w:rPr>
              <w:t>Venue hire</w:t>
            </w:r>
            <w:r w:rsidR="004C6446">
              <w:rPr>
                <w:noProof/>
                <w:webHidden/>
              </w:rPr>
              <w:tab/>
            </w:r>
            <w:r w:rsidR="004C6446">
              <w:rPr>
                <w:noProof/>
                <w:webHidden/>
              </w:rPr>
              <w:fldChar w:fldCharType="begin"/>
            </w:r>
            <w:r w:rsidR="004C6446">
              <w:rPr>
                <w:noProof/>
                <w:webHidden/>
              </w:rPr>
              <w:instrText xml:space="preserve"> PAGEREF _Toc499287706 \h </w:instrText>
            </w:r>
            <w:r w:rsidR="004C6446">
              <w:rPr>
                <w:noProof/>
                <w:webHidden/>
              </w:rPr>
            </w:r>
            <w:r w:rsidR="004C6446">
              <w:rPr>
                <w:noProof/>
                <w:webHidden/>
              </w:rPr>
              <w:fldChar w:fldCharType="separate"/>
            </w:r>
            <w:r w:rsidR="004C6446">
              <w:rPr>
                <w:noProof/>
                <w:webHidden/>
              </w:rPr>
              <w:t>1</w:t>
            </w:r>
            <w:r w:rsidR="004C6446">
              <w:rPr>
                <w:noProof/>
                <w:webHidden/>
              </w:rPr>
              <w:fldChar w:fldCharType="end"/>
            </w:r>
          </w:hyperlink>
        </w:p>
        <w:p w14:paraId="70A84F40" w14:textId="77777777" w:rsidR="004C6446" w:rsidRDefault="00EA7AFB">
          <w:pPr>
            <w:pStyle w:val="TOC1"/>
            <w:tabs>
              <w:tab w:val="right" w:leader="dot" w:pos="9016"/>
            </w:tabs>
            <w:rPr>
              <w:rFonts w:eastAsiaTheme="minorEastAsia"/>
              <w:noProof/>
              <w:lang w:eastAsia="en-GB"/>
            </w:rPr>
          </w:pPr>
          <w:hyperlink w:anchor="_Toc499287707" w:history="1">
            <w:r w:rsidR="004C6446" w:rsidRPr="00D12AA6">
              <w:rPr>
                <w:rStyle w:val="Hyperlink"/>
                <w:noProof/>
              </w:rPr>
              <w:t>Travel and subsistence</w:t>
            </w:r>
            <w:r w:rsidR="004C6446">
              <w:rPr>
                <w:noProof/>
                <w:webHidden/>
              </w:rPr>
              <w:tab/>
            </w:r>
            <w:r w:rsidR="004C6446">
              <w:rPr>
                <w:noProof/>
                <w:webHidden/>
              </w:rPr>
              <w:fldChar w:fldCharType="begin"/>
            </w:r>
            <w:r w:rsidR="004C6446">
              <w:rPr>
                <w:noProof/>
                <w:webHidden/>
              </w:rPr>
              <w:instrText xml:space="preserve"> PAGEREF _Toc499287707 \h </w:instrText>
            </w:r>
            <w:r w:rsidR="004C6446">
              <w:rPr>
                <w:noProof/>
                <w:webHidden/>
              </w:rPr>
            </w:r>
            <w:r w:rsidR="004C6446">
              <w:rPr>
                <w:noProof/>
                <w:webHidden/>
              </w:rPr>
              <w:fldChar w:fldCharType="separate"/>
            </w:r>
            <w:r w:rsidR="004C6446">
              <w:rPr>
                <w:noProof/>
                <w:webHidden/>
              </w:rPr>
              <w:t>2</w:t>
            </w:r>
            <w:r w:rsidR="004C6446">
              <w:rPr>
                <w:noProof/>
                <w:webHidden/>
              </w:rPr>
              <w:fldChar w:fldCharType="end"/>
            </w:r>
          </w:hyperlink>
        </w:p>
        <w:p w14:paraId="03F534A7" w14:textId="77777777" w:rsidR="004C6446" w:rsidRDefault="00EA7AFB">
          <w:pPr>
            <w:pStyle w:val="TOC1"/>
            <w:tabs>
              <w:tab w:val="right" w:leader="dot" w:pos="9016"/>
            </w:tabs>
            <w:rPr>
              <w:rFonts w:eastAsiaTheme="minorEastAsia"/>
              <w:noProof/>
              <w:lang w:eastAsia="en-GB"/>
            </w:rPr>
          </w:pPr>
          <w:hyperlink w:anchor="_Toc499287708" w:history="1">
            <w:r w:rsidR="004C6446" w:rsidRPr="00D12AA6">
              <w:rPr>
                <w:rStyle w:val="Hyperlink"/>
                <w:noProof/>
              </w:rPr>
              <w:t>Accommodation</w:t>
            </w:r>
            <w:r w:rsidR="004C6446">
              <w:rPr>
                <w:noProof/>
                <w:webHidden/>
              </w:rPr>
              <w:tab/>
            </w:r>
            <w:r w:rsidR="004C6446">
              <w:rPr>
                <w:noProof/>
                <w:webHidden/>
              </w:rPr>
              <w:fldChar w:fldCharType="begin"/>
            </w:r>
            <w:r w:rsidR="004C6446">
              <w:rPr>
                <w:noProof/>
                <w:webHidden/>
              </w:rPr>
              <w:instrText xml:space="preserve"> PAGEREF _Toc499287708 \h </w:instrText>
            </w:r>
            <w:r w:rsidR="004C6446">
              <w:rPr>
                <w:noProof/>
                <w:webHidden/>
              </w:rPr>
            </w:r>
            <w:r w:rsidR="004C6446">
              <w:rPr>
                <w:noProof/>
                <w:webHidden/>
              </w:rPr>
              <w:fldChar w:fldCharType="separate"/>
            </w:r>
            <w:r w:rsidR="004C6446">
              <w:rPr>
                <w:noProof/>
                <w:webHidden/>
              </w:rPr>
              <w:t>2</w:t>
            </w:r>
            <w:r w:rsidR="004C6446">
              <w:rPr>
                <w:noProof/>
                <w:webHidden/>
              </w:rPr>
              <w:fldChar w:fldCharType="end"/>
            </w:r>
          </w:hyperlink>
        </w:p>
        <w:p w14:paraId="70F19B72" w14:textId="77777777" w:rsidR="004C6446" w:rsidRDefault="00EA7AFB">
          <w:pPr>
            <w:pStyle w:val="TOC1"/>
            <w:tabs>
              <w:tab w:val="right" w:leader="dot" w:pos="9016"/>
            </w:tabs>
            <w:rPr>
              <w:rFonts w:eastAsiaTheme="minorEastAsia"/>
              <w:noProof/>
              <w:lang w:eastAsia="en-GB"/>
            </w:rPr>
          </w:pPr>
          <w:hyperlink w:anchor="_Toc499287709" w:history="1">
            <w:r w:rsidR="004C6446" w:rsidRPr="00D12AA6">
              <w:rPr>
                <w:rStyle w:val="Hyperlink"/>
                <w:noProof/>
              </w:rPr>
              <w:t>IT and website costs</w:t>
            </w:r>
            <w:r w:rsidR="004C6446">
              <w:rPr>
                <w:noProof/>
                <w:webHidden/>
              </w:rPr>
              <w:tab/>
            </w:r>
            <w:r w:rsidR="004C6446">
              <w:rPr>
                <w:noProof/>
                <w:webHidden/>
              </w:rPr>
              <w:fldChar w:fldCharType="begin"/>
            </w:r>
            <w:r w:rsidR="004C6446">
              <w:rPr>
                <w:noProof/>
                <w:webHidden/>
              </w:rPr>
              <w:instrText xml:space="preserve"> PAGEREF _Toc499287709 \h </w:instrText>
            </w:r>
            <w:r w:rsidR="004C6446">
              <w:rPr>
                <w:noProof/>
                <w:webHidden/>
              </w:rPr>
            </w:r>
            <w:r w:rsidR="004C6446">
              <w:rPr>
                <w:noProof/>
                <w:webHidden/>
              </w:rPr>
              <w:fldChar w:fldCharType="separate"/>
            </w:r>
            <w:r w:rsidR="004C6446">
              <w:rPr>
                <w:noProof/>
                <w:webHidden/>
              </w:rPr>
              <w:t>3</w:t>
            </w:r>
            <w:r w:rsidR="004C6446">
              <w:rPr>
                <w:noProof/>
                <w:webHidden/>
              </w:rPr>
              <w:fldChar w:fldCharType="end"/>
            </w:r>
          </w:hyperlink>
        </w:p>
        <w:p w14:paraId="7FE547C4" w14:textId="77777777" w:rsidR="004C6446" w:rsidRDefault="00EA7AFB">
          <w:pPr>
            <w:pStyle w:val="TOC1"/>
            <w:tabs>
              <w:tab w:val="right" w:leader="dot" w:pos="9016"/>
            </w:tabs>
            <w:rPr>
              <w:rFonts w:eastAsiaTheme="minorEastAsia"/>
              <w:noProof/>
              <w:lang w:eastAsia="en-GB"/>
            </w:rPr>
          </w:pPr>
          <w:hyperlink w:anchor="_Toc499287710" w:history="1">
            <w:r w:rsidR="004C6446" w:rsidRPr="00D12AA6">
              <w:rPr>
                <w:rStyle w:val="Hyperlink"/>
                <w:noProof/>
              </w:rPr>
              <w:t>Staff</w:t>
            </w:r>
            <w:r w:rsidR="004C6446">
              <w:rPr>
                <w:noProof/>
                <w:webHidden/>
              </w:rPr>
              <w:tab/>
            </w:r>
            <w:r w:rsidR="004C6446">
              <w:rPr>
                <w:noProof/>
                <w:webHidden/>
              </w:rPr>
              <w:fldChar w:fldCharType="begin"/>
            </w:r>
            <w:r w:rsidR="004C6446">
              <w:rPr>
                <w:noProof/>
                <w:webHidden/>
              </w:rPr>
              <w:instrText xml:space="preserve"> PAGEREF _Toc499287710 \h </w:instrText>
            </w:r>
            <w:r w:rsidR="004C6446">
              <w:rPr>
                <w:noProof/>
                <w:webHidden/>
              </w:rPr>
            </w:r>
            <w:r w:rsidR="004C6446">
              <w:rPr>
                <w:noProof/>
                <w:webHidden/>
              </w:rPr>
              <w:fldChar w:fldCharType="separate"/>
            </w:r>
            <w:r w:rsidR="004C6446">
              <w:rPr>
                <w:noProof/>
                <w:webHidden/>
              </w:rPr>
              <w:t>4</w:t>
            </w:r>
            <w:r w:rsidR="004C6446">
              <w:rPr>
                <w:noProof/>
                <w:webHidden/>
              </w:rPr>
              <w:fldChar w:fldCharType="end"/>
            </w:r>
          </w:hyperlink>
        </w:p>
        <w:p w14:paraId="19FF2503" w14:textId="77777777" w:rsidR="004C6446" w:rsidRDefault="00EA7AFB">
          <w:pPr>
            <w:pStyle w:val="TOC1"/>
            <w:tabs>
              <w:tab w:val="right" w:leader="dot" w:pos="9016"/>
            </w:tabs>
            <w:rPr>
              <w:rFonts w:eastAsiaTheme="minorEastAsia"/>
              <w:noProof/>
              <w:lang w:eastAsia="en-GB"/>
            </w:rPr>
          </w:pPr>
          <w:hyperlink w:anchor="_Toc499287711" w:history="1">
            <w:r w:rsidR="004C6446" w:rsidRPr="00D12AA6">
              <w:rPr>
                <w:rStyle w:val="Hyperlink"/>
                <w:noProof/>
              </w:rPr>
              <w:t>Printing and Publicity</w:t>
            </w:r>
            <w:r w:rsidR="004C6446">
              <w:rPr>
                <w:noProof/>
                <w:webHidden/>
              </w:rPr>
              <w:tab/>
            </w:r>
            <w:r w:rsidR="004C6446">
              <w:rPr>
                <w:noProof/>
                <w:webHidden/>
              </w:rPr>
              <w:fldChar w:fldCharType="begin"/>
            </w:r>
            <w:r w:rsidR="004C6446">
              <w:rPr>
                <w:noProof/>
                <w:webHidden/>
              </w:rPr>
              <w:instrText xml:space="preserve"> PAGEREF _Toc499287711 \h </w:instrText>
            </w:r>
            <w:r w:rsidR="004C6446">
              <w:rPr>
                <w:noProof/>
                <w:webHidden/>
              </w:rPr>
            </w:r>
            <w:r w:rsidR="004C6446">
              <w:rPr>
                <w:noProof/>
                <w:webHidden/>
              </w:rPr>
              <w:fldChar w:fldCharType="separate"/>
            </w:r>
            <w:r w:rsidR="004C6446">
              <w:rPr>
                <w:noProof/>
                <w:webHidden/>
              </w:rPr>
              <w:t>5</w:t>
            </w:r>
            <w:r w:rsidR="004C6446">
              <w:rPr>
                <w:noProof/>
                <w:webHidden/>
              </w:rPr>
              <w:fldChar w:fldCharType="end"/>
            </w:r>
          </w:hyperlink>
        </w:p>
        <w:p w14:paraId="6C3BB2D6" w14:textId="77777777" w:rsidR="004C6446" w:rsidRDefault="00EA7AFB">
          <w:pPr>
            <w:pStyle w:val="TOC1"/>
            <w:tabs>
              <w:tab w:val="right" w:leader="dot" w:pos="9016"/>
            </w:tabs>
            <w:rPr>
              <w:rFonts w:eastAsiaTheme="minorEastAsia"/>
              <w:noProof/>
              <w:lang w:eastAsia="en-GB"/>
            </w:rPr>
          </w:pPr>
          <w:hyperlink w:anchor="_Toc499287712" w:history="1">
            <w:r w:rsidR="004C6446" w:rsidRPr="00D12AA6">
              <w:rPr>
                <w:rStyle w:val="Hyperlink"/>
                <w:noProof/>
              </w:rPr>
              <w:t>Equipment</w:t>
            </w:r>
            <w:r w:rsidR="004C6446">
              <w:rPr>
                <w:noProof/>
                <w:webHidden/>
              </w:rPr>
              <w:tab/>
            </w:r>
            <w:r w:rsidR="004C6446">
              <w:rPr>
                <w:noProof/>
                <w:webHidden/>
              </w:rPr>
              <w:fldChar w:fldCharType="begin"/>
            </w:r>
            <w:r w:rsidR="004C6446">
              <w:rPr>
                <w:noProof/>
                <w:webHidden/>
              </w:rPr>
              <w:instrText xml:space="preserve"> PAGEREF _Toc499287712 \h </w:instrText>
            </w:r>
            <w:r w:rsidR="004C6446">
              <w:rPr>
                <w:noProof/>
                <w:webHidden/>
              </w:rPr>
            </w:r>
            <w:r w:rsidR="004C6446">
              <w:rPr>
                <w:noProof/>
                <w:webHidden/>
              </w:rPr>
              <w:fldChar w:fldCharType="separate"/>
            </w:r>
            <w:r w:rsidR="004C6446">
              <w:rPr>
                <w:noProof/>
                <w:webHidden/>
              </w:rPr>
              <w:t>5</w:t>
            </w:r>
            <w:r w:rsidR="004C6446">
              <w:rPr>
                <w:noProof/>
                <w:webHidden/>
              </w:rPr>
              <w:fldChar w:fldCharType="end"/>
            </w:r>
          </w:hyperlink>
        </w:p>
        <w:p w14:paraId="4948B846" w14:textId="77777777" w:rsidR="004C6446" w:rsidRDefault="00EA7AFB">
          <w:pPr>
            <w:pStyle w:val="TOC1"/>
            <w:tabs>
              <w:tab w:val="right" w:leader="dot" w:pos="9016"/>
            </w:tabs>
            <w:rPr>
              <w:rFonts w:eastAsiaTheme="minorEastAsia"/>
              <w:noProof/>
              <w:lang w:eastAsia="en-GB"/>
            </w:rPr>
          </w:pPr>
          <w:hyperlink w:anchor="_Toc499287713" w:history="1">
            <w:r w:rsidR="004C6446" w:rsidRPr="00D12AA6">
              <w:rPr>
                <w:rStyle w:val="Hyperlink"/>
                <w:noProof/>
              </w:rPr>
              <w:t>EU applications specific costs</w:t>
            </w:r>
            <w:r w:rsidR="004C6446">
              <w:rPr>
                <w:noProof/>
                <w:webHidden/>
              </w:rPr>
              <w:tab/>
            </w:r>
            <w:r w:rsidR="004C6446">
              <w:rPr>
                <w:noProof/>
                <w:webHidden/>
              </w:rPr>
              <w:fldChar w:fldCharType="begin"/>
            </w:r>
            <w:r w:rsidR="004C6446">
              <w:rPr>
                <w:noProof/>
                <w:webHidden/>
              </w:rPr>
              <w:instrText xml:space="preserve"> PAGEREF _Toc499287713 \h </w:instrText>
            </w:r>
            <w:r w:rsidR="004C6446">
              <w:rPr>
                <w:noProof/>
                <w:webHidden/>
              </w:rPr>
            </w:r>
            <w:r w:rsidR="004C6446">
              <w:rPr>
                <w:noProof/>
                <w:webHidden/>
              </w:rPr>
              <w:fldChar w:fldCharType="separate"/>
            </w:r>
            <w:r w:rsidR="004C6446">
              <w:rPr>
                <w:noProof/>
                <w:webHidden/>
              </w:rPr>
              <w:t>5</w:t>
            </w:r>
            <w:r w:rsidR="004C6446">
              <w:rPr>
                <w:noProof/>
                <w:webHidden/>
              </w:rPr>
              <w:fldChar w:fldCharType="end"/>
            </w:r>
          </w:hyperlink>
        </w:p>
        <w:p w14:paraId="05D22B14" w14:textId="77777777" w:rsidR="004C6446" w:rsidRDefault="00EA7AFB">
          <w:pPr>
            <w:pStyle w:val="TOC1"/>
            <w:tabs>
              <w:tab w:val="right" w:leader="dot" w:pos="9016"/>
            </w:tabs>
            <w:rPr>
              <w:rFonts w:eastAsiaTheme="minorEastAsia"/>
              <w:noProof/>
              <w:lang w:eastAsia="en-GB"/>
            </w:rPr>
          </w:pPr>
          <w:hyperlink w:anchor="_Toc499287714" w:history="1">
            <w:r w:rsidR="004C6446" w:rsidRPr="00D12AA6">
              <w:rPr>
                <w:rStyle w:val="Hyperlink"/>
                <w:noProof/>
              </w:rPr>
              <w:t>Facilities</w:t>
            </w:r>
            <w:r w:rsidR="004C6446">
              <w:rPr>
                <w:noProof/>
                <w:webHidden/>
              </w:rPr>
              <w:tab/>
            </w:r>
            <w:r w:rsidR="004C6446">
              <w:rPr>
                <w:noProof/>
                <w:webHidden/>
              </w:rPr>
              <w:fldChar w:fldCharType="begin"/>
            </w:r>
            <w:r w:rsidR="004C6446">
              <w:rPr>
                <w:noProof/>
                <w:webHidden/>
              </w:rPr>
              <w:instrText xml:space="preserve"> PAGEREF _Toc499287714 \h </w:instrText>
            </w:r>
            <w:r w:rsidR="004C6446">
              <w:rPr>
                <w:noProof/>
                <w:webHidden/>
              </w:rPr>
            </w:r>
            <w:r w:rsidR="004C6446">
              <w:rPr>
                <w:noProof/>
                <w:webHidden/>
              </w:rPr>
              <w:fldChar w:fldCharType="separate"/>
            </w:r>
            <w:r w:rsidR="004C6446">
              <w:rPr>
                <w:noProof/>
                <w:webHidden/>
              </w:rPr>
              <w:t>6</w:t>
            </w:r>
            <w:r w:rsidR="004C6446">
              <w:rPr>
                <w:noProof/>
                <w:webHidden/>
              </w:rPr>
              <w:fldChar w:fldCharType="end"/>
            </w:r>
          </w:hyperlink>
        </w:p>
        <w:p w14:paraId="233A1B7C" w14:textId="6D609461" w:rsidR="00D547D7" w:rsidRPr="00A80798" w:rsidRDefault="00D547D7">
          <w:r>
            <w:rPr>
              <w:b/>
              <w:bCs/>
              <w:noProof/>
            </w:rPr>
            <w:fldChar w:fldCharType="end"/>
          </w:r>
        </w:p>
      </w:sdtContent>
    </w:sdt>
    <w:p w14:paraId="2D293D2F" w14:textId="77777777" w:rsidR="00A80798" w:rsidRDefault="00A80798" w:rsidP="00D547D7">
      <w:pPr>
        <w:pStyle w:val="Heading1"/>
      </w:pPr>
    </w:p>
    <w:p w14:paraId="151AA424" w14:textId="77777777" w:rsidR="00873BF0" w:rsidRPr="00E2061B" w:rsidRDefault="00761C4F" w:rsidP="00D547D7">
      <w:pPr>
        <w:pStyle w:val="Heading1"/>
      </w:pPr>
      <w:bookmarkStart w:id="0" w:name="_Toc499287706"/>
      <w:r w:rsidRPr="00E2061B">
        <w:t>Venue hire</w:t>
      </w:r>
      <w:bookmarkEnd w:id="0"/>
    </w:p>
    <w:p w14:paraId="3A17AA28" w14:textId="7A82684C" w:rsidR="00A16604" w:rsidRDefault="00A16604" w:rsidP="00917991">
      <w:pPr>
        <w:jc w:val="both"/>
        <w:rPr>
          <w:rFonts w:ascii="Calibri" w:hAnsi="Calibri"/>
        </w:rPr>
      </w:pPr>
      <w:r>
        <w:rPr>
          <w:rFonts w:ascii="Calibri" w:hAnsi="Calibri"/>
        </w:rPr>
        <w:t xml:space="preserve">If the project includes any event, conference or workshop venue costs will need to be included. </w:t>
      </w:r>
      <w:r w:rsidR="00EA7F07">
        <w:rPr>
          <w:rFonts w:ascii="Calibri" w:hAnsi="Calibri"/>
        </w:rPr>
        <w:t xml:space="preserve">If you know where the event is to be held approach the venue directly to get accurate costings. For any events held on campus </w:t>
      </w:r>
      <w:r>
        <w:rPr>
          <w:rFonts w:ascii="Calibri" w:hAnsi="Calibri"/>
        </w:rPr>
        <w:t>The University of Reading events team can provide indicative costs</w:t>
      </w:r>
      <w:r w:rsidR="00943F77">
        <w:rPr>
          <w:rFonts w:ascii="Calibri" w:hAnsi="Calibri"/>
        </w:rPr>
        <w:t>*</w:t>
      </w:r>
      <w:r>
        <w:rPr>
          <w:rFonts w:ascii="Calibri" w:hAnsi="Calibri"/>
        </w:rPr>
        <w:t xml:space="preserve"> and advice on elements such as:</w:t>
      </w:r>
    </w:p>
    <w:p w14:paraId="38E79966" w14:textId="77777777" w:rsidR="00A16604" w:rsidRDefault="00A16604" w:rsidP="00917991">
      <w:pPr>
        <w:pStyle w:val="ListParagraph"/>
        <w:numPr>
          <w:ilvl w:val="0"/>
          <w:numId w:val="4"/>
        </w:numPr>
        <w:jc w:val="both"/>
        <w:rPr>
          <w:rFonts w:ascii="Calibri" w:hAnsi="Calibri"/>
        </w:rPr>
      </w:pPr>
      <w:r>
        <w:rPr>
          <w:rFonts w:ascii="Calibri" w:hAnsi="Calibri"/>
        </w:rPr>
        <w:t>Room hire</w:t>
      </w:r>
    </w:p>
    <w:p w14:paraId="27F4A1DE" w14:textId="77777777" w:rsidR="00A16604" w:rsidRDefault="00A16604" w:rsidP="00917991">
      <w:pPr>
        <w:pStyle w:val="ListParagraph"/>
        <w:numPr>
          <w:ilvl w:val="0"/>
          <w:numId w:val="4"/>
        </w:numPr>
        <w:jc w:val="both"/>
        <w:rPr>
          <w:rFonts w:ascii="Calibri" w:hAnsi="Calibri"/>
        </w:rPr>
      </w:pPr>
      <w:r>
        <w:rPr>
          <w:rFonts w:ascii="Calibri" w:hAnsi="Calibri"/>
        </w:rPr>
        <w:t>AV equipment available in each room</w:t>
      </w:r>
    </w:p>
    <w:p w14:paraId="77E836F9" w14:textId="13FDF92A" w:rsidR="00943F77" w:rsidRDefault="00A16604" w:rsidP="00917991">
      <w:pPr>
        <w:pStyle w:val="ListParagraph"/>
        <w:numPr>
          <w:ilvl w:val="0"/>
          <w:numId w:val="4"/>
        </w:numPr>
        <w:jc w:val="both"/>
        <w:rPr>
          <w:rFonts w:ascii="Calibri" w:hAnsi="Calibri"/>
        </w:rPr>
      </w:pPr>
      <w:r>
        <w:rPr>
          <w:rFonts w:ascii="Calibri" w:hAnsi="Calibri"/>
        </w:rPr>
        <w:t>Equipment and resources available e.g. PC lab, flip chart, pad, pens</w:t>
      </w:r>
    </w:p>
    <w:p w14:paraId="1220D3AE" w14:textId="10875FC9" w:rsidR="00EC4D03" w:rsidRDefault="00B87265" w:rsidP="00917991">
      <w:pPr>
        <w:pStyle w:val="ListParagraph"/>
        <w:numPr>
          <w:ilvl w:val="0"/>
          <w:numId w:val="4"/>
        </w:numPr>
        <w:jc w:val="both"/>
        <w:rPr>
          <w:rFonts w:ascii="Calibri" w:hAnsi="Calibri"/>
        </w:rPr>
      </w:pPr>
      <w:r>
        <w:rPr>
          <w:rFonts w:ascii="Calibri" w:hAnsi="Calibri"/>
        </w:rPr>
        <w:t>Catering and waiter/waitress</w:t>
      </w:r>
      <w:r w:rsidR="00EC4D03">
        <w:rPr>
          <w:rFonts w:ascii="Calibri" w:hAnsi="Calibri"/>
        </w:rPr>
        <w:t xml:space="preserve"> staff</w:t>
      </w:r>
    </w:p>
    <w:p w14:paraId="6B114F6C" w14:textId="77777777" w:rsidR="00EC4D03" w:rsidRDefault="00EC4D03" w:rsidP="00917991">
      <w:pPr>
        <w:pStyle w:val="ListParagraph"/>
        <w:jc w:val="both"/>
        <w:rPr>
          <w:rFonts w:ascii="Calibri" w:hAnsi="Calibri"/>
        </w:rPr>
      </w:pPr>
    </w:p>
    <w:p w14:paraId="114C81AC" w14:textId="4542CD16" w:rsidR="00943F77" w:rsidRPr="00943F77" w:rsidRDefault="00943F77" w:rsidP="00917991">
      <w:pPr>
        <w:jc w:val="both"/>
        <w:rPr>
          <w:rFonts w:ascii="Calibri" w:hAnsi="Calibri"/>
        </w:rPr>
      </w:pPr>
      <w:r>
        <w:rPr>
          <w:rFonts w:ascii="Calibri" w:hAnsi="Calibri"/>
        </w:rPr>
        <w:t xml:space="preserve">*Note – </w:t>
      </w:r>
      <w:r w:rsidR="0011656F">
        <w:rPr>
          <w:rFonts w:ascii="Calibri" w:hAnsi="Calibri"/>
        </w:rPr>
        <w:t xml:space="preserve">the </w:t>
      </w:r>
      <w:proofErr w:type="spellStart"/>
      <w:r w:rsidR="0011656F">
        <w:rPr>
          <w:rFonts w:ascii="Calibri" w:hAnsi="Calibri"/>
        </w:rPr>
        <w:t>UoR</w:t>
      </w:r>
      <w:proofErr w:type="spellEnd"/>
      <w:r w:rsidR="0011656F">
        <w:rPr>
          <w:rFonts w:ascii="Calibri" w:hAnsi="Calibri"/>
        </w:rPr>
        <w:t xml:space="preserve"> events team</w:t>
      </w:r>
      <w:r w:rsidR="006C1D53">
        <w:rPr>
          <w:rFonts w:ascii="Calibri" w:hAnsi="Calibri"/>
        </w:rPr>
        <w:t xml:space="preserve"> costs can’t be used </w:t>
      </w:r>
      <w:r>
        <w:rPr>
          <w:rFonts w:ascii="Calibri" w:hAnsi="Calibri"/>
        </w:rPr>
        <w:t>for Research Council and EU bids</w:t>
      </w:r>
      <w:r w:rsidR="006C1D53" w:rsidRPr="006C1D53">
        <w:t xml:space="preserve"> </w:t>
      </w:r>
      <w:r w:rsidR="006C1D53">
        <w:t xml:space="preserve">as there is no audit trail. For these bids we can use a </w:t>
      </w:r>
      <w:proofErr w:type="spellStart"/>
      <w:r w:rsidR="006C1D53">
        <w:t>UoR</w:t>
      </w:r>
      <w:proofErr w:type="spellEnd"/>
      <w:r w:rsidR="006C1D53">
        <w:t xml:space="preserve"> events team quote and add VAT on to represent an equivalent external quote.</w:t>
      </w:r>
    </w:p>
    <w:p w14:paraId="68BA64D1" w14:textId="77777777" w:rsidR="00A16604" w:rsidRPr="00A16604" w:rsidRDefault="00A16604" w:rsidP="00917991">
      <w:pPr>
        <w:spacing w:after="0" w:line="240" w:lineRule="auto"/>
        <w:jc w:val="both"/>
        <w:rPr>
          <w:rFonts w:ascii="Calibri" w:hAnsi="Calibri"/>
          <w:b/>
          <w:i/>
        </w:rPr>
      </w:pPr>
      <w:r>
        <w:rPr>
          <w:rFonts w:ascii="Calibri" w:hAnsi="Calibri"/>
          <w:b/>
          <w:i/>
        </w:rPr>
        <w:t>Useful Links:</w:t>
      </w:r>
    </w:p>
    <w:p w14:paraId="51BA9F89" w14:textId="6EE997F8" w:rsidR="00A16604" w:rsidRDefault="00EA7AFB" w:rsidP="00EA7AFB">
      <w:pPr>
        <w:spacing w:after="0" w:line="240" w:lineRule="auto"/>
        <w:jc w:val="both"/>
        <w:rPr>
          <w:rFonts w:ascii="Calibri" w:hAnsi="Calibri"/>
          <w:color w:val="1F497D"/>
        </w:rPr>
      </w:pPr>
      <w:hyperlink r:id="rId8" w:history="1">
        <w:r w:rsidR="00761C4F" w:rsidRPr="00A16604">
          <w:rPr>
            <w:rStyle w:val="Hyperlink"/>
            <w:rFonts w:ascii="Calibri" w:hAnsi="Calibri"/>
          </w:rPr>
          <w:t>U</w:t>
        </w:r>
        <w:r w:rsidR="00A16604" w:rsidRPr="00A16604">
          <w:rPr>
            <w:rStyle w:val="Hyperlink"/>
            <w:rFonts w:ascii="Calibri" w:hAnsi="Calibri"/>
          </w:rPr>
          <w:t xml:space="preserve">niversity </w:t>
        </w:r>
        <w:r w:rsidR="00761C4F" w:rsidRPr="00A16604">
          <w:rPr>
            <w:rStyle w:val="Hyperlink"/>
            <w:rFonts w:ascii="Calibri" w:hAnsi="Calibri"/>
          </w:rPr>
          <w:t>of</w:t>
        </w:r>
        <w:r w:rsidR="00A16604" w:rsidRPr="00A16604">
          <w:rPr>
            <w:rStyle w:val="Hyperlink"/>
            <w:rFonts w:ascii="Calibri" w:hAnsi="Calibri"/>
          </w:rPr>
          <w:t xml:space="preserve"> </w:t>
        </w:r>
        <w:r w:rsidR="00761C4F" w:rsidRPr="00A16604">
          <w:rPr>
            <w:rStyle w:val="Hyperlink"/>
            <w:rFonts w:ascii="Calibri" w:hAnsi="Calibri"/>
          </w:rPr>
          <w:t>R</w:t>
        </w:r>
        <w:r w:rsidR="00A16604" w:rsidRPr="00A16604">
          <w:rPr>
            <w:rStyle w:val="Hyperlink"/>
            <w:rFonts w:ascii="Calibri" w:hAnsi="Calibri"/>
          </w:rPr>
          <w:t>eading</w:t>
        </w:r>
        <w:r w:rsidR="00761C4F" w:rsidRPr="00A16604">
          <w:rPr>
            <w:rStyle w:val="Hyperlink"/>
            <w:rFonts w:ascii="Calibri" w:hAnsi="Calibri"/>
          </w:rPr>
          <w:t xml:space="preserve"> events</w:t>
        </w:r>
        <w:r w:rsidR="00761C4F" w:rsidRPr="00A16604">
          <w:rPr>
            <w:rStyle w:val="Hyperlink"/>
            <w:rFonts w:ascii="Calibri" w:hAnsi="Calibri"/>
          </w:rPr>
          <w:t xml:space="preserve"> </w:t>
        </w:r>
        <w:r w:rsidR="00761C4F" w:rsidRPr="00A16604">
          <w:rPr>
            <w:rStyle w:val="Hyperlink"/>
            <w:rFonts w:ascii="Calibri" w:hAnsi="Calibri"/>
          </w:rPr>
          <w:t>costing guide</w:t>
        </w:r>
      </w:hyperlink>
      <w:r w:rsidR="00A16604">
        <w:rPr>
          <w:rFonts w:ascii="Calibri" w:hAnsi="Calibri"/>
        </w:rPr>
        <w:t xml:space="preserve"> – provides an overview of elements to consider when hosting an event</w:t>
      </w:r>
    </w:p>
    <w:p w14:paraId="7F871D0A" w14:textId="77777777" w:rsidR="00451E26" w:rsidRDefault="00EA7AFB" w:rsidP="00EA7AFB">
      <w:pPr>
        <w:spacing w:after="0" w:line="240" w:lineRule="auto"/>
        <w:jc w:val="both"/>
        <w:rPr>
          <w:rFonts w:ascii="Calibri" w:hAnsi="Calibri"/>
          <w:color w:val="1F497D"/>
        </w:rPr>
      </w:pPr>
      <w:hyperlink r:id="rId9" w:history="1">
        <w:r w:rsidR="00CE319D" w:rsidRPr="00CE319D">
          <w:rPr>
            <w:rStyle w:val="Hyperlink"/>
            <w:rFonts w:ascii="Calibri" w:hAnsi="Calibri"/>
          </w:rPr>
          <w:t>Venue</w:t>
        </w:r>
        <w:r w:rsidR="00CE319D" w:rsidRPr="00CE319D">
          <w:rPr>
            <w:rStyle w:val="Hyperlink"/>
            <w:rFonts w:ascii="Calibri" w:hAnsi="Calibri"/>
          </w:rPr>
          <w:t>R</w:t>
        </w:r>
        <w:r w:rsidR="00CE319D" w:rsidRPr="00CE319D">
          <w:rPr>
            <w:rStyle w:val="Hyperlink"/>
            <w:rFonts w:ascii="Calibri" w:hAnsi="Calibri"/>
          </w:rPr>
          <w:t>eading</w:t>
        </w:r>
      </w:hyperlink>
      <w:r w:rsidR="00CE319D">
        <w:rPr>
          <w:rFonts w:ascii="Calibri" w:hAnsi="Calibri"/>
        </w:rPr>
        <w:t xml:space="preserve"> – list the rooms available for meetings and conferences and will be able to provide costs</w:t>
      </w:r>
      <w:r w:rsidR="00451E26">
        <w:rPr>
          <w:rFonts w:ascii="Calibri" w:hAnsi="Calibri"/>
          <w:color w:val="1F497D"/>
        </w:rPr>
        <w:t xml:space="preserve"> </w:t>
      </w:r>
    </w:p>
    <w:p w14:paraId="3C1A64CB" w14:textId="626697F9" w:rsidR="00EC4D03" w:rsidRDefault="00917991" w:rsidP="00EA7AFB">
      <w:pPr>
        <w:spacing w:after="0" w:line="240" w:lineRule="auto"/>
        <w:jc w:val="both"/>
      </w:pPr>
      <w:hyperlink r:id="rId10" w:history="1">
        <w:r w:rsidR="00EC4D03" w:rsidRPr="00917991">
          <w:rPr>
            <w:rStyle w:val="Hyperlink"/>
          </w:rPr>
          <w:t xml:space="preserve">University's </w:t>
        </w:r>
        <w:r w:rsidRPr="00917991">
          <w:rPr>
            <w:rStyle w:val="Hyperlink"/>
          </w:rPr>
          <w:t>hospitality catering</w:t>
        </w:r>
      </w:hyperlink>
      <w:r w:rsidR="00EC4D03">
        <w:t xml:space="preserve"> – this gives details of various breakfast, lunch and buffet options with price lists</w:t>
      </w:r>
      <w:r w:rsidR="005633D8">
        <w:t>, and also offers options for waiter/waitress services with prices.</w:t>
      </w:r>
    </w:p>
    <w:p w14:paraId="7D71F367" w14:textId="75511DB9" w:rsidR="00451E26" w:rsidRDefault="00917991" w:rsidP="00EA7AFB">
      <w:pPr>
        <w:spacing w:after="0" w:line="240" w:lineRule="auto"/>
        <w:jc w:val="both"/>
      </w:pPr>
      <w:hyperlink r:id="rId11" w:history="1">
        <w:r w:rsidR="003D46B3" w:rsidRPr="00917991">
          <w:rPr>
            <w:rStyle w:val="Hyperlink"/>
          </w:rPr>
          <w:t>Catering for confe</w:t>
        </w:r>
        <w:r w:rsidR="003D46B3" w:rsidRPr="00917991">
          <w:rPr>
            <w:rStyle w:val="Hyperlink"/>
          </w:rPr>
          <w:t>r</w:t>
        </w:r>
        <w:r w:rsidR="003D46B3" w:rsidRPr="00917991">
          <w:rPr>
            <w:rStyle w:val="Hyperlink"/>
          </w:rPr>
          <w:t>ences/events</w:t>
        </w:r>
      </w:hyperlink>
      <w:r w:rsidR="00CE319D">
        <w:t xml:space="preserve"> – the Catering</w:t>
      </w:r>
      <w:r w:rsidR="00EA7F07">
        <w:t xml:space="preserve"> </w:t>
      </w:r>
      <w:r w:rsidR="00CE319D">
        <w:t>team can provide details and quotes on subsistence for events from simple refreshments to sandwich lunches and evening dinners</w:t>
      </w:r>
    </w:p>
    <w:p w14:paraId="1793B07B" w14:textId="77777777" w:rsidR="008B075A" w:rsidRDefault="00EA7AFB" w:rsidP="00A16604">
      <w:pPr>
        <w:spacing w:after="0" w:line="240" w:lineRule="auto"/>
      </w:pPr>
      <w:hyperlink r:id="rId12" w:history="1">
        <w:r w:rsidR="008B075A" w:rsidRPr="008B075A">
          <w:rPr>
            <w:rStyle w:val="Hyperlink"/>
          </w:rPr>
          <w:t>Audio Vis</w:t>
        </w:r>
        <w:r w:rsidR="008B075A" w:rsidRPr="008B075A">
          <w:rPr>
            <w:rStyle w:val="Hyperlink"/>
          </w:rPr>
          <w:t>u</w:t>
        </w:r>
        <w:r w:rsidR="008B075A" w:rsidRPr="008B075A">
          <w:rPr>
            <w:rStyle w:val="Hyperlink"/>
          </w:rPr>
          <w:t>al Support</w:t>
        </w:r>
      </w:hyperlink>
      <w:r w:rsidR="008B075A">
        <w:t xml:space="preserve"> – details of AV support available from IT Services</w:t>
      </w:r>
    </w:p>
    <w:p w14:paraId="17E60E1E" w14:textId="77777777" w:rsidR="008B075A" w:rsidRDefault="00EA7AFB" w:rsidP="00A16604">
      <w:pPr>
        <w:spacing w:after="0" w:line="240" w:lineRule="auto"/>
      </w:pPr>
      <w:hyperlink r:id="rId13" w:history="1">
        <w:r w:rsidR="008B075A" w:rsidRPr="008B075A">
          <w:rPr>
            <w:rStyle w:val="Hyperlink"/>
          </w:rPr>
          <w:t>Audio Visu</w:t>
        </w:r>
        <w:r w:rsidR="008B075A" w:rsidRPr="008B075A">
          <w:rPr>
            <w:rStyle w:val="Hyperlink"/>
          </w:rPr>
          <w:t>a</w:t>
        </w:r>
        <w:r w:rsidR="008B075A" w:rsidRPr="008B075A">
          <w:rPr>
            <w:rStyle w:val="Hyperlink"/>
          </w:rPr>
          <w:t>l Events Guide</w:t>
        </w:r>
      </w:hyperlink>
      <w:r w:rsidR="008B075A">
        <w:t xml:space="preserve"> – contact details and things to consider when planning AV for an event</w:t>
      </w:r>
    </w:p>
    <w:p w14:paraId="6FB8478C" w14:textId="77777777" w:rsidR="00761C4F" w:rsidRDefault="00761C4F"/>
    <w:p w14:paraId="0B9DBDF9" w14:textId="77777777" w:rsidR="00761C4F" w:rsidRDefault="00DE678C" w:rsidP="00D547D7">
      <w:pPr>
        <w:pStyle w:val="Heading1"/>
      </w:pPr>
      <w:bookmarkStart w:id="1" w:name="_Toc499287707"/>
      <w:r>
        <w:t>Travel and subsistence</w:t>
      </w:r>
      <w:bookmarkEnd w:id="1"/>
    </w:p>
    <w:p w14:paraId="3D8DB387" w14:textId="0210D3D0" w:rsidR="00F174F3" w:rsidRDefault="00F174F3" w:rsidP="00EA7AFB">
      <w:pPr>
        <w:jc w:val="both"/>
      </w:pPr>
      <w:r>
        <w:t>For most grants you can include travel for project meetings, network meetings, conference attendance – check the individual scheme notes for eligible travel costs.</w:t>
      </w:r>
      <w:r w:rsidR="00317A62">
        <w:t xml:space="preserve"> Be mindful of value for money, however and ensure your costs are covered but not excessive.</w:t>
      </w:r>
    </w:p>
    <w:p w14:paraId="002D131F" w14:textId="77777777" w:rsidR="00F174F3" w:rsidRDefault="00F174F3" w:rsidP="00F174F3">
      <w:pPr>
        <w:spacing w:after="0" w:line="240" w:lineRule="auto"/>
      </w:pPr>
      <w:r>
        <w:t>Travel costs could include:</w:t>
      </w:r>
    </w:p>
    <w:p w14:paraId="5C432DE7" w14:textId="77777777" w:rsidR="00F174F3" w:rsidRDefault="00F174F3" w:rsidP="00F174F3">
      <w:pPr>
        <w:pStyle w:val="ListParagraph"/>
        <w:numPr>
          <w:ilvl w:val="0"/>
          <w:numId w:val="3"/>
        </w:numPr>
      </w:pPr>
      <w:r>
        <w:t>Train tickets</w:t>
      </w:r>
    </w:p>
    <w:p w14:paraId="1844E61E" w14:textId="77777777" w:rsidR="00F174F3" w:rsidRDefault="00F174F3" w:rsidP="00F174F3">
      <w:pPr>
        <w:pStyle w:val="ListParagraph"/>
        <w:numPr>
          <w:ilvl w:val="0"/>
          <w:numId w:val="3"/>
        </w:numPr>
      </w:pPr>
      <w:r>
        <w:t>Airfares</w:t>
      </w:r>
    </w:p>
    <w:p w14:paraId="263CBDAE" w14:textId="77777777" w:rsidR="00F174F3" w:rsidRDefault="003F0BCE" w:rsidP="00F174F3">
      <w:pPr>
        <w:pStyle w:val="ListParagraph"/>
        <w:numPr>
          <w:ilvl w:val="0"/>
          <w:numId w:val="3"/>
        </w:numPr>
      </w:pPr>
      <w:r>
        <w:t>Mileage</w:t>
      </w:r>
    </w:p>
    <w:p w14:paraId="03457935" w14:textId="77777777" w:rsidR="003F0BCE" w:rsidRDefault="003F0BCE" w:rsidP="003F0BCE">
      <w:pPr>
        <w:pStyle w:val="ListParagraph"/>
        <w:numPr>
          <w:ilvl w:val="0"/>
          <w:numId w:val="3"/>
        </w:numPr>
        <w:spacing w:after="0" w:line="240" w:lineRule="auto"/>
      </w:pPr>
      <w:r>
        <w:t>Local travel e.g. bus and taxi fare</w:t>
      </w:r>
    </w:p>
    <w:p w14:paraId="1B479430" w14:textId="77777777" w:rsidR="003F0BCE" w:rsidRDefault="003F0BCE" w:rsidP="003F0BCE">
      <w:pPr>
        <w:spacing w:after="0" w:line="240" w:lineRule="auto"/>
      </w:pPr>
    </w:p>
    <w:p w14:paraId="240CB62E" w14:textId="77777777" w:rsidR="003F0BCE" w:rsidRDefault="003F0BCE" w:rsidP="003F0BCE">
      <w:pPr>
        <w:spacing w:after="0" w:line="240" w:lineRule="auto"/>
      </w:pPr>
      <w:r>
        <w:t xml:space="preserve">Realistic estimates should be made using the links below and included in the application giving as much detail as possible to justify the costs </w:t>
      </w:r>
      <w:proofErr w:type="spellStart"/>
      <w:r>
        <w:t>e.g</w:t>
      </w:r>
      <w:proofErr w:type="spellEnd"/>
      <w:r>
        <w:t>:</w:t>
      </w:r>
    </w:p>
    <w:p w14:paraId="16B5CACB" w14:textId="77777777" w:rsidR="003F0BCE" w:rsidRDefault="003F0BCE" w:rsidP="003F0BCE">
      <w:pPr>
        <w:spacing w:after="0" w:line="240" w:lineRule="auto"/>
        <w:jc w:val="center"/>
        <w:rPr>
          <w:i/>
        </w:rPr>
      </w:pPr>
      <w:r>
        <w:rPr>
          <w:i/>
        </w:rPr>
        <w:t>Rail travel from Reading to London for initial project meeting</w:t>
      </w:r>
    </w:p>
    <w:p w14:paraId="57319D8B" w14:textId="77777777" w:rsidR="003F0BCE" w:rsidRPr="003F0BCE" w:rsidRDefault="003F0BCE" w:rsidP="003F0BCE">
      <w:pPr>
        <w:spacing w:after="0" w:line="240" w:lineRule="auto"/>
        <w:jc w:val="center"/>
        <w:rPr>
          <w:i/>
        </w:rPr>
      </w:pPr>
      <w:r>
        <w:rPr>
          <w:i/>
        </w:rPr>
        <w:t>2 x £42.20 return tickets = £84.40 plus £10 local costs = £94.40</w:t>
      </w:r>
    </w:p>
    <w:p w14:paraId="2575C87F" w14:textId="77777777" w:rsidR="003F0BCE" w:rsidRDefault="003F0BCE" w:rsidP="003F0BCE">
      <w:pPr>
        <w:spacing w:after="0" w:line="240" w:lineRule="auto"/>
      </w:pPr>
    </w:p>
    <w:p w14:paraId="3299724D" w14:textId="1746593D" w:rsidR="00DD64BC" w:rsidRDefault="00015BD1" w:rsidP="00EA7AFB">
      <w:pPr>
        <w:spacing w:after="0" w:line="240" w:lineRule="auto"/>
        <w:jc w:val="both"/>
      </w:pPr>
      <w:r>
        <w:t>For any travel over £300</w:t>
      </w:r>
      <w:r w:rsidR="00DD64BC">
        <w:t xml:space="preserve"> University staff must go through the approved travel agents</w:t>
      </w:r>
      <w:r w:rsidR="007904B3">
        <w:t xml:space="preserve"> (</w:t>
      </w:r>
      <w:r w:rsidR="00A619DA">
        <w:t xml:space="preserve">CTM – </w:t>
      </w:r>
      <w:hyperlink r:id="rId14" w:history="1">
        <w:r w:rsidR="00A619DA" w:rsidRPr="00001095">
          <w:rPr>
            <w:rStyle w:val="Hyperlink"/>
          </w:rPr>
          <w:t>www.ctm.travel</w:t>
        </w:r>
      </w:hyperlink>
      <w:r w:rsidR="00A619DA">
        <w:t xml:space="preserve"> or 0845 370 2666. You may need to register the first time for log on details by e-mailing reading@ctm.travel</w:t>
      </w:r>
      <w:r w:rsidR="007904B3">
        <w:t>).</w:t>
      </w:r>
      <w:r w:rsidR="00DD64BC">
        <w:t xml:space="preserve"> </w:t>
      </w:r>
      <w:r w:rsidR="00757C94">
        <w:t>For grants with a lot of travel the PI should contact the travel agents for quotes before application submission.</w:t>
      </w:r>
    </w:p>
    <w:p w14:paraId="43C2B65C" w14:textId="77777777" w:rsidR="00EA6C8E" w:rsidRDefault="00EA6C8E" w:rsidP="00EA7AFB">
      <w:pPr>
        <w:spacing w:after="0" w:line="240" w:lineRule="auto"/>
        <w:jc w:val="both"/>
        <w:rPr>
          <w:i/>
        </w:rPr>
      </w:pPr>
    </w:p>
    <w:p w14:paraId="1FDABEB7" w14:textId="77777777" w:rsidR="00D076ED" w:rsidRPr="00EA6C8E" w:rsidRDefault="00D076ED" w:rsidP="00EA7AFB">
      <w:pPr>
        <w:spacing w:after="0" w:line="240" w:lineRule="auto"/>
        <w:jc w:val="both"/>
      </w:pPr>
      <w:r>
        <w:rPr>
          <w:i/>
        </w:rPr>
        <w:t>Subsistence Limits</w:t>
      </w:r>
      <w:r w:rsidR="00EA6C8E">
        <w:t xml:space="preserve"> – the University has its’ own subsistence limits (detailed below). However each funder may have their own limits which will be detailed in the call document.</w:t>
      </w:r>
    </w:p>
    <w:p w14:paraId="25D33D69" w14:textId="7BFC683A" w:rsidR="00D076ED" w:rsidRDefault="00A619DA" w:rsidP="00EA7AFB">
      <w:pPr>
        <w:pStyle w:val="ListParagraph"/>
        <w:numPr>
          <w:ilvl w:val="0"/>
          <w:numId w:val="2"/>
        </w:numPr>
        <w:spacing w:after="0" w:line="240" w:lineRule="auto"/>
        <w:jc w:val="both"/>
      </w:pPr>
      <w:r>
        <w:t>For day trips lasting les</w:t>
      </w:r>
      <w:r w:rsidR="00D076ED">
        <w:t>s than 10 hours – no subsistence can be claimed</w:t>
      </w:r>
    </w:p>
    <w:p w14:paraId="33E7B133" w14:textId="77777777" w:rsidR="00D076ED" w:rsidRDefault="00D076ED" w:rsidP="00EA7AFB">
      <w:pPr>
        <w:pStyle w:val="ListParagraph"/>
        <w:numPr>
          <w:ilvl w:val="0"/>
          <w:numId w:val="2"/>
        </w:numPr>
        <w:spacing w:after="0" w:line="240" w:lineRule="auto"/>
        <w:jc w:val="both"/>
      </w:pPr>
      <w:r>
        <w:t>For day trips lasting more than 10 hours – up to £10 of subsistence can be claimed on production of valid receipts</w:t>
      </w:r>
    </w:p>
    <w:p w14:paraId="5A85B303" w14:textId="77777777" w:rsidR="00D076ED" w:rsidRDefault="00D076ED" w:rsidP="00EA7AFB">
      <w:pPr>
        <w:pStyle w:val="ListParagraph"/>
        <w:numPr>
          <w:ilvl w:val="0"/>
          <w:numId w:val="2"/>
        </w:numPr>
        <w:spacing w:after="0" w:line="240" w:lineRule="auto"/>
        <w:jc w:val="both"/>
      </w:pPr>
      <w:r>
        <w:t>For overnight travel (both UK and overseas) – up to £45 of subsistence can be claimed on production of valid receipts</w:t>
      </w:r>
    </w:p>
    <w:p w14:paraId="563170DA" w14:textId="77777777" w:rsidR="00624889" w:rsidRDefault="00624889" w:rsidP="00EA7AFB">
      <w:pPr>
        <w:spacing w:after="0" w:line="240" w:lineRule="auto"/>
        <w:jc w:val="both"/>
      </w:pPr>
    </w:p>
    <w:p w14:paraId="41C33137" w14:textId="77777777" w:rsidR="00DE678C" w:rsidRPr="00DE678C" w:rsidRDefault="00DE678C" w:rsidP="00EA7AFB">
      <w:pPr>
        <w:spacing w:after="0" w:line="240" w:lineRule="auto"/>
        <w:jc w:val="both"/>
        <w:rPr>
          <w:b/>
          <w:i/>
        </w:rPr>
      </w:pPr>
      <w:r>
        <w:rPr>
          <w:b/>
          <w:i/>
        </w:rPr>
        <w:t>Useful Links:</w:t>
      </w:r>
    </w:p>
    <w:p w14:paraId="7843D289" w14:textId="6C32BFA4" w:rsidR="002E0245" w:rsidRDefault="00917991" w:rsidP="00EA7AFB">
      <w:pPr>
        <w:jc w:val="both"/>
      </w:pPr>
      <w:hyperlink r:id="rId15" w:history="1">
        <w:r w:rsidR="00DE678C" w:rsidRPr="00917991">
          <w:rPr>
            <w:rStyle w:val="Hyperlink"/>
          </w:rPr>
          <w:t>University Travel a</w:t>
        </w:r>
        <w:r w:rsidR="00DE678C" w:rsidRPr="00917991">
          <w:rPr>
            <w:rStyle w:val="Hyperlink"/>
          </w:rPr>
          <w:t>n</w:t>
        </w:r>
        <w:r w:rsidR="00DE678C" w:rsidRPr="00917991">
          <w:rPr>
            <w:rStyle w:val="Hyperlink"/>
          </w:rPr>
          <w:t>d Subsistence Policy</w:t>
        </w:r>
      </w:hyperlink>
      <w:r w:rsidR="00DE678C">
        <w:t xml:space="preserve"> </w:t>
      </w:r>
    </w:p>
    <w:p w14:paraId="5CF0BD84" w14:textId="77777777" w:rsidR="00DE678C" w:rsidRDefault="00EA7AFB" w:rsidP="00EA7AFB">
      <w:pPr>
        <w:jc w:val="both"/>
      </w:pPr>
      <w:hyperlink r:id="rId16" w:history="1">
        <w:r w:rsidR="00DE678C" w:rsidRPr="00DE678C">
          <w:rPr>
            <w:rStyle w:val="Hyperlink"/>
          </w:rPr>
          <w:t>The Train Line</w:t>
        </w:r>
      </w:hyperlink>
      <w:r w:rsidR="00AE2BCF">
        <w:t xml:space="preserve"> – for estimating train ticket costs</w:t>
      </w:r>
    </w:p>
    <w:p w14:paraId="1AA35296" w14:textId="77777777" w:rsidR="00AE2BCF" w:rsidRDefault="00EA7AFB" w:rsidP="00EA7AFB">
      <w:pPr>
        <w:jc w:val="both"/>
      </w:pPr>
      <w:hyperlink r:id="rId17" w:history="1">
        <w:r w:rsidR="00AE2BCF" w:rsidRPr="00AE2BCF">
          <w:rPr>
            <w:rStyle w:val="Hyperlink"/>
          </w:rPr>
          <w:t>British Airways</w:t>
        </w:r>
      </w:hyperlink>
      <w:r w:rsidR="00AE2BCF">
        <w:t xml:space="preserve"> – for estimating plane ticket costs. As BA are slightly more expensive using their figures to estimate costs ensures that enough contingency built in to cover air travel even if cheaper airlines are used at a later date.</w:t>
      </w:r>
    </w:p>
    <w:p w14:paraId="1E20C29C" w14:textId="6C4A6FA2" w:rsidR="00EC2900" w:rsidRPr="00917991" w:rsidRDefault="00917991" w:rsidP="00EC2900">
      <w:hyperlink r:id="rId18" w:history="1">
        <w:r w:rsidRPr="00917991">
          <w:rPr>
            <w:rStyle w:val="Hyperlink"/>
          </w:rPr>
          <w:t>Expedia</w:t>
        </w:r>
      </w:hyperlink>
      <w:r>
        <w:t xml:space="preserve"> – for estimating flight and hotel costs</w:t>
      </w:r>
    </w:p>
    <w:p w14:paraId="5A1373D9" w14:textId="77777777" w:rsidR="00EC2900" w:rsidRPr="00E2061B" w:rsidRDefault="00EC2900" w:rsidP="00D547D7">
      <w:pPr>
        <w:pStyle w:val="Heading1"/>
      </w:pPr>
      <w:bookmarkStart w:id="2" w:name="_Toc499287708"/>
      <w:r w:rsidRPr="00E2061B">
        <w:t>Accommodation</w:t>
      </w:r>
      <w:bookmarkEnd w:id="2"/>
    </w:p>
    <w:p w14:paraId="37503435" w14:textId="0D688495" w:rsidR="00EC2900" w:rsidRDefault="00EC2900" w:rsidP="00EA7AFB">
      <w:pPr>
        <w:spacing w:after="0" w:line="240" w:lineRule="auto"/>
        <w:jc w:val="both"/>
      </w:pPr>
      <w:r>
        <w:t xml:space="preserve">Accommodation costs for attendance at meetings, conferences, events or fieldwork can often be included in project costs – check scheme notes for eligibility. For accommodation in other locations </w:t>
      </w:r>
      <w:r>
        <w:lastRenderedPageBreak/>
        <w:t xml:space="preserve">(including overseas) include estimates of realistic per person per night prices, building a little extra in for contingency if appropriate. </w:t>
      </w:r>
    </w:p>
    <w:p w14:paraId="1AEFB012" w14:textId="77777777" w:rsidR="00EC2900" w:rsidRDefault="00EC2900" w:rsidP="00EA7AFB">
      <w:pPr>
        <w:spacing w:after="0" w:line="240" w:lineRule="auto"/>
        <w:jc w:val="both"/>
      </w:pPr>
    </w:p>
    <w:p w14:paraId="78425BB5" w14:textId="6A736CBD" w:rsidR="00EC2900" w:rsidRDefault="00EC2900" w:rsidP="00EA7AFB">
      <w:pPr>
        <w:spacing w:after="0" w:line="240" w:lineRule="auto"/>
        <w:jc w:val="both"/>
      </w:pPr>
      <w:r>
        <w:t>Current price per night (including breakfast) limits (as per Finance Expenses Hospitality Policy 1</w:t>
      </w:r>
      <w:r w:rsidRPr="00015BD1">
        <w:rPr>
          <w:vertAlign w:val="superscript"/>
        </w:rPr>
        <w:t>st</w:t>
      </w:r>
      <w:r>
        <w:t xml:space="preserve"> Aug 20</w:t>
      </w:r>
      <w:r w:rsidR="00052634">
        <w:t>20</w:t>
      </w:r>
      <w:r>
        <w:t>):</w:t>
      </w:r>
    </w:p>
    <w:p w14:paraId="24C51F4C" w14:textId="77777777" w:rsidR="00EC2900" w:rsidRDefault="00EC2900" w:rsidP="00EC2900">
      <w:pPr>
        <w:pStyle w:val="ListParagraph"/>
        <w:numPr>
          <w:ilvl w:val="0"/>
          <w:numId w:val="1"/>
        </w:numPr>
      </w:pPr>
      <w:r>
        <w:t>London (within M25) – up to £200</w:t>
      </w:r>
    </w:p>
    <w:p w14:paraId="394E79DB" w14:textId="77777777" w:rsidR="00EC2900" w:rsidRDefault="00EC2900" w:rsidP="00EC2900">
      <w:pPr>
        <w:pStyle w:val="ListParagraph"/>
        <w:numPr>
          <w:ilvl w:val="0"/>
          <w:numId w:val="1"/>
        </w:numPr>
      </w:pPr>
      <w:r>
        <w:t>Rest of the UK – up to £110</w:t>
      </w:r>
    </w:p>
    <w:p w14:paraId="12A598D5" w14:textId="77777777" w:rsidR="00EC2900" w:rsidRDefault="00EC2900" w:rsidP="00EC2900">
      <w:pPr>
        <w:pStyle w:val="ListParagraph"/>
        <w:numPr>
          <w:ilvl w:val="0"/>
          <w:numId w:val="1"/>
        </w:numPr>
      </w:pPr>
      <w:r>
        <w:t>New York – up to £180</w:t>
      </w:r>
    </w:p>
    <w:p w14:paraId="75E4E7C9" w14:textId="77777777" w:rsidR="00EC2900" w:rsidRDefault="00EC2900" w:rsidP="00EC2900">
      <w:pPr>
        <w:pStyle w:val="ListParagraph"/>
        <w:numPr>
          <w:ilvl w:val="0"/>
          <w:numId w:val="1"/>
        </w:numPr>
      </w:pPr>
      <w:r>
        <w:t>Dubai – up to £160</w:t>
      </w:r>
    </w:p>
    <w:p w14:paraId="699D0400" w14:textId="77777777" w:rsidR="00EC2900" w:rsidRDefault="00EC2900" w:rsidP="00EC2900">
      <w:pPr>
        <w:pStyle w:val="ListParagraph"/>
        <w:numPr>
          <w:ilvl w:val="0"/>
          <w:numId w:val="1"/>
        </w:numPr>
      </w:pPr>
      <w:r>
        <w:t>Rest of the World – up to £150</w:t>
      </w:r>
    </w:p>
    <w:p w14:paraId="47AF691D" w14:textId="77777777" w:rsidR="00EC2900" w:rsidRPr="00866243" w:rsidRDefault="00EC2900" w:rsidP="00EC2900">
      <w:pPr>
        <w:rPr>
          <w:b/>
          <w:i/>
        </w:rPr>
      </w:pPr>
      <w:r>
        <w:rPr>
          <w:b/>
          <w:i/>
        </w:rPr>
        <w:t>Useful Links:</w:t>
      </w:r>
    </w:p>
    <w:p w14:paraId="1D77F5E3" w14:textId="77777777" w:rsidR="00EC2900" w:rsidRDefault="00EA7AFB" w:rsidP="00EC2900">
      <w:hyperlink r:id="rId19" w:history="1">
        <w:r w:rsidR="00EC2900" w:rsidRPr="00866243">
          <w:rPr>
            <w:rStyle w:val="Hyperlink"/>
          </w:rPr>
          <w:t>Booking.com</w:t>
        </w:r>
      </w:hyperlink>
      <w:r w:rsidR="00EC2900">
        <w:t xml:space="preserve"> – travel website to give an idea of average accommodation prices</w:t>
      </w:r>
    </w:p>
    <w:p w14:paraId="78402268" w14:textId="77777777" w:rsidR="00052634" w:rsidRDefault="00052634" w:rsidP="00D547D7">
      <w:pPr>
        <w:pStyle w:val="Heading1"/>
      </w:pPr>
      <w:bookmarkStart w:id="3" w:name="_Toc499287709"/>
    </w:p>
    <w:p w14:paraId="5F5229E3" w14:textId="691F7E60" w:rsidR="00761C4F" w:rsidRPr="00E2061B" w:rsidRDefault="00761C4F" w:rsidP="00D547D7">
      <w:pPr>
        <w:pStyle w:val="Heading1"/>
      </w:pPr>
      <w:r w:rsidRPr="00E2061B">
        <w:t>IT and website costs</w:t>
      </w:r>
      <w:bookmarkEnd w:id="3"/>
    </w:p>
    <w:p w14:paraId="6E1DDEA6" w14:textId="031B2E3E" w:rsidR="008F4492" w:rsidRDefault="007127B2" w:rsidP="00EA7AFB">
      <w:pPr>
        <w:jc w:val="both"/>
        <w:rPr>
          <w:rFonts w:ascii="Calibri" w:hAnsi="Calibri"/>
        </w:rPr>
      </w:pPr>
      <w:r>
        <w:rPr>
          <w:rFonts w:ascii="Calibri" w:hAnsi="Calibri"/>
        </w:rPr>
        <w:t>Check with your school or department to see if there is an existing web platform that could be used for the project website. If not or a larger, more complex website is needed theses would u</w:t>
      </w:r>
      <w:r w:rsidR="008F4492">
        <w:rPr>
          <w:rFonts w:ascii="Calibri" w:hAnsi="Calibri"/>
        </w:rPr>
        <w:t xml:space="preserve">sually </w:t>
      </w:r>
      <w:r>
        <w:rPr>
          <w:rFonts w:ascii="Calibri" w:hAnsi="Calibri"/>
        </w:rPr>
        <w:t>be</w:t>
      </w:r>
      <w:r w:rsidR="008F4492">
        <w:rPr>
          <w:rFonts w:ascii="Calibri" w:hAnsi="Calibri"/>
        </w:rPr>
        <w:t xml:space="preserve"> created by an external developer and therefore need to be included as Directly Incurred costs</w:t>
      </w:r>
      <w:r w:rsidR="001B2C0A">
        <w:rPr>
          <w:rFonts w:ascii="Calibri" w:hAnsi="Calibri"/>
        </w:rPr>
        <w:t xml:space="preserve">. Applicants should seek external quotes and ensure VAT is added on to the figure quoted in the application. Procurement </w:t>
      </w:r>
      <w:r w:rsidR="00353B3F">
        <w:rPr>
          <w:rFonts w:ascii="Calibri" w:hAnsi="Calibri"/>
        </w:rPr>
        <w:t xml:space="preserve">have a list of current web developers. </w:t>
      </w:r>
      <w:r w:rsidR="00EC2900">
        <w:rPr>
          <w:rFonts w:ascii="Calibri" w:hAnsi="Calibri"/>
        </w:rPr>
        <w:t xml:space="preserve">Funding can usually only be claimed for the duration of the project and not for the use of the website after the project end date – check individual funder guidance for confirmation. </w:t>
      </w:r>
    </w:p>
    <w:p w14:paraId="0AF389CF" w14:textId="7A807134" w:rsidR="008F4492" w:rsidRDefault="00A004D6" w:rsidP="00EA7AFB">
      <w:pPr>
        <w:jc w:val="both"/>
        <w:rPr>
          <w:rFonts w:ascii="Calibri" w:hAnsi="Calibri"/>
        </w:rPr>
      </w:pPr>
      <w:r>
        <w:rPr>
          <w:rFonts w:ascii="Calibri" w:hAnsi="Calibri"/>
        </w:rPr>
        <w:t>Standard c</w:t>
      </w:r>
      <w:r w:rsidR="008F4492">
        <w:rPr>
          <w:rFonts w:ascii="Calibri" w:hAnsi="Calibri"/>
        </w:rPr>
        <w:t xml:space="preserve">omputers or laptops cannot usually be claimed as an eligible cost </w:t>
      </w:r>
      <w:r w:rsidR="002F63D4">
        <w:rPr>
          <w:rFonts w:ascii="Calibri" w:hAnsi="Calibri"/>
        </w:rPr>
        <w:t xml:space="preserve">in most schemes as institutions are expected to provide these. </w:t>
      </w:r>
      <w:r>
        <w:rPr>
          <w:rFonts w:ascii="Calibri" w:hAnsi="Calibri"/>
        </w:rPr>
        <w:t>However specialist computer equipment, high-spec computers for specialist tasks (</w:t>
      </w:r>
      <w:proofErr w:type="spellStart"/>
      <w:r>
        <w:rPr>
          <w:rFonts w:ascii="Calibri" w:hAnsi="Calibri"/>
        </w:rPr>
        <w:t>e.g</w:t>
      </w:r>
      <w:proofErr w:type="spellEnd"/>
      <w:r>
        <w:rPr>
          <w:rFonts w:ascii="Calibri" w:hAnsi="Calibri"/>
        </w:rPr>
        <w:t xml:space="preserve"> modelling or capturing and manipulating multiple images)</w:t>
      </w:r>
      <w:r w:rsidR="002F63D4">
        <w:rPr>
          <w:rFonts w:ascii="Calibri" w:hAnsi="Calibri"/>
        </w:rPr>
        <w:t xml:space="preserve"> or equipment that c</w:t>
      </w:r>
      <w:r>
        <w:rPr>
          <w:rFonts w:ascii="Calibri" w:hAnsi="Calibri"/>
        </w:rPr>
        <w:t xml:space="preserve">an’t be provided by the School can be claimed as long as there is a clear justification </w:t>
      </w:r>
      <w:r w:rsidR="002F63D4">
        <w:rPr>
          <w:rFonts w:ascii="Calibri" w:hAnsi="Calibri"/>
        </w:rPr>
        <w:t>in the application to show why this is needed.</w:t>
      </w:r>
    </w:p>
    <w:p w14:paraId="3BFA7549" w14:textId="51F9C162" w:rsidR="00660005" w:rsidRPr="00F06AE7" w:rsidRDefault="00660005" w:rsidP="00EA7AFB">
      <w:pPr>
        <w:jc w:val="both"/>
      </w:pPr>
      <w:r>
        <w:rPr>
          <w:rFonts w:ascii="Calibri" w:hAnsi="Calibri"/>
        </w:rPr>
        <w:t>Storage and archiving of any data and publications from a research project may also need to be considered depending on the nature of the project. Research Data Manager Robert Darby is based in Researc</w:t>
      </w:r>
      <w:r w:rsidR="00C0376A">
        <w:rPr>
          <w:rFonts w:ascii="Calibri" w:hAnsi="Calibri"/>
        </w:rPr>
        <w:t>h Services and can advis</w:t>
      </w:r>
      <w:r w:rsidR="001B2C0A">
        <w:rPr>
          <w:rFonts w:ascii="Calibri" w:hAnsi="Calibri"/>
        </w:rPr>
        <w:t>e on</w:t>
      </w:r>
      <w:r>
        <w:rPr>
          <w:rFonts w:ascii="Calibri" w:hAnsi="Calibri"/>
        </w:rPr>
        <w:t xml:space="preserve"> putting together data management costs.</w:t>
      </w:r>
      <w:r w:rsidR="00163D46">
        <w:rPr>
          <w:rFonts w:ascii="Calibri" w:hAnsi="Calibri"/>
        </w:rPr>
        <w:t xml:space="preserve"> </w:t>
      </w:r>
      <w:r w:rsidR="00163D46">
        <w:rPr>
          <w:rFonts w:ascii="Calibri" w:hAnsi="Calibri"/>
          <w:i/>
        </w:rPr>
        <w:t xml:space="preserve">Note: </w:t>
      </w:r>
      <w:r w:rsidR="00163D46">
        <w:rPr>
          <w:rFonts w:ascii="Calibri" w:hAnsi="Calibri"/>
        </w:rPr>
        <w:t>data archiving costs should be added as a Directly Allocated cost where required as it is used later on in the project duration and therefore doesn’t generate an invoice.</w:t>
      </w:r>
      <w:r w:rsidR="00C0376A">
        <w:rPr>
          <w:rFonts w:ascii="Calibri" w:hAnsi="Calibri"/>
        </w:rPr>
        <w:t xml:space="preserve">  In addition to specialist external data archiving services (</w:t>
      </w:r>
      <w:proofErr w:type="spellStart"/>
      <w:r w:rsidR="00C0376A">
        <w:rPr>
          <w:rFonts w:ascii="Calibri" w:hAnsi="Calibri"/>
        </w:rPr>
        <w:t>eg.</w:t>
      </w:r>
      <w:proofErr w:type="spellEnd"/>
      <w:r w:rsidR="00C0376A">
        <w:rPr>
          <w:rFonts w:ascii="Calibri" w:hAnsi="Calibri"/>
        </w:rPr>
        <w:t xml:space="preserve"> Archaeological Data Service), the University has </w:t>
      </w:r>
      <w:r w:rsidR="004867D3">
        <w:rPr>
          <w:rFonts w:ascii="Calibri" w:hAnsi="Calibri"/>
        </w:rPr>
        <w:t>its</w:t>
      </w:r>
      <w:r w:rsidR="00C0376A">
        <w:rPr>
          <w:rFonts w:ascii="Calibri" w:hAnsi="Calibri"/>
        </w:rPr>
        <w:t xml:space="preserve"> own research data archive</w:t>
      </w:r>
      <w:r w:rsidR="00F06AE7">
        <w:rPr>
          <w:rFonts w:ascii="Calibri" w:hAnsi="Calibri"/>
        </w:rPr>
        <w:t xml:space="preserve"> which </w:t>
      </w:r>
      <w:r w:rsidR="00C0376A" w:rsidRPr="00F06AE7">
        <w:rPr>
          <w:rFonts w:ascii="Calibri" w:hAnsi="Calibri"/>
        </w:rPr>
        <w:t xml:space="preserve"> will enable you to comply with the University </w:t>
      </w:r>
      <w:r w:rsidR="00C0376A" w:rsidRPr="00052634">
        <w:rPr>
          <w:rFonts w:ascii="Calibri" w:hAnsi="Calibri"/>
        </w:rPr>
        <w:t>Research Data</w:t>
      </w:r>
      <w:r w:rsidR="00C0376A" w:rsidRPr="00052634">
        <w:rPr>
          <w:rFonts w:ascii="Calibri" w:hAnsi="Calibri"/>
        </w:rPr>
        <w:t xml:space="preserve"> </w:t>
      </w:r>
      <w:r w:rsidR="00C0376A" w:rsidRPr="00052634">
        <w:rPr>
          <w:rFonts w:ascii="Calibri" w:hAnsi="Calibri"/>
        </w:rPr>
        <w:t>Management Policy</w:t>
      </w:r>
      <w:r w:rsidR="00F06AE7" w:rsidRPr="00052634">
        <w:rPr>
          <w:rFonts w:ascii="Calibri" w:hAnsi="Calibri"/>
        </w:rPr>
        <w:t xml:space="preserve"> </w:t>
      </w:r>
      <w:r w:rsidR="00F06AE7" w:rsidRPr="00F06AE7">
        <w:rPr>
          <w:rFonts w:ascii="Calibri" w:hAnsi="Calibri"/>
        </w:rPr>
        <w:t>and any relevant funder policy for the long-term preservation/sharing of research data. Up to 1 Terabyte of data per project can deposited at no charge. </w:t>
      </w:r>
      <w:r w:rsidR="00D71F98" w:rsidRPr="00F06AE7">
        <w:rPr>
          <w:rFonts w:ascii="Calibri" w:hAnsi="Calibri"/>
        </w:rPr>
        <w:t>If</w:t>
      </w:r>
      <w:r w:rsidR="00F06AE7" w:rsidRPr="00F06AE7">
        <w:rPr>
          <w:rFonts w:ascii="Calibri" w:hAnsi="Calibri"/>
        </w:rPr>
        <w:t xml:space="preserve"> you wish to deposit more than 1 TB of data you will incur a one-off charge at a rate of £4,000 per additional TB, and will be required to supply evidence of available funds before permission to deposit the data will be given.</w:t>
      </w:r>
    </w:p>
    <w:p w14:paraId="4A186E13" w14:textId="77777777" w:rsidR="00052634" w:rsidRDefault="00052634">
      <w:pPr>
        <w:rPr>
          <w:rFonts w:ascii="Calibri" w:hAnsi="Calibri"/>
          <w:b/>
          <w:i/>
        </w:rPr>
      </w:pPr>
    </w:p>
    <w:p w14:paraId="12723602" w14:textId="757CA6D0" w:rsidR="008F4492" w:rsidRDefault="00E57B01">
      <w:pPr>
        <w:rPr>
          <w:rFonts w:ascii="Calibri" w:hAnsi="Calibri"/>
        </w:rPr>
      </w:pPr>
      <w:r w:rsidRPr="00052634">
        <w:rPr>
          <w:rFonts w:ascii="Calibri" w:hAnsi="Calibri"/>
          <w:b/>
          <w:i/>
        </w:rPr>
        <w:t>Usefu</w:t>
      </w:r>
      <w:r w:rsidRPr="00052634">
        <w:rPr>
          <w:rFonts w:ascii="Calibri" w:hAnsi="Calibri"/>
          <w:b/>
          <w:i/>
        </w:rPr>
        <w:t>l</w:t>
      </w:r>
      <w:r w:rsidRPr="00052634">
        <w:rPr>
          <w:rFonts w:ascii="Calibri" w:hAnsi="Calibri"/>
          <w:b/>
          <w:i/>
        </w:rPr>
        <w:t xml:space="preserve"> Lin</w:t>
      </w:r>
      <w:r>
        <w:rPr>
          <w:rFonts w:ascii="Calibri" w:hAnsi="Calibri"/>
          <w:b/>
          <w:i/>
        </w:rPr>
        <w:t>ks:</w:t>
      </w:r>
    </w:p>
    <w:p w14:paraId="428E9EF4" w14:textId="77777777" w:rsidR="00761C4F" w:rsidRDefault="00EA7AFB">
      <w:hyperlink r:id="rId20" w:history="1">
        <w:r w:rsidR="00E2061B" w:rsidRPr="00E57B01">
          <w:rPr>
            <w:rStyle w:val="Hyperlink"/>
            <w:rFonts w:ascii="Calibri" w:hAnsi="Calibri"/>
          </w:rPr>
          <w:t>Website costs and contacts</w:t>
        </w:r>
      </w:hyperlink>
      <w:r w:rsidR="00E57B01">
        <w:rPr>
          <w:rFonts w:ascii="Calibri" w:hAnsi="Calibri"/>
        </w:rPr>
        <w:t xml:space="preserve"> </w:t>
      </w:r>
      <w:r w:rsidR="00576335">
        <w:rPr>
          <w:rFonts w:ascii="Calibri" w:hAnsi="Calibri"/>
        </w:rPr>
        <w:t>–</w:t>
      </w:r>
      <w:r w:rsidR="00E57B01">
        <w:rPr>
          <w:rFonts w:ascii="Calibri" w:hAnsi="Calibri"/>
        </w:rPr>
        <w:t xml:space="preserve"> </w:t>
      </w:r>
      <w:r w:rsidR="00576335">
        <w:rPr>
          <w:rFonts w:ascii="Calibri" w:hAnsi="Calibri"/>
        </w:rPr>
        <w:t>IT guide on website design service including contact detail and costs</w:t>
      </w:r>
    </w:p>
    <w:p w14:paraId="7474C144" w14:textId="77777777" w:rsidR="00E2061B" w:rsidRDefault="00EA7AFB" w:rsidP="00660005">
      <w:pPr>
        <w:spacing w:after="0" w:line="240" w:lineRule="auto"/>
      </w:pPr>
      <w:hyperlink r:id="rId21" w:history="1">
        <w:r w:rsidR="00E2061B" w:rsidRPr="00576335">
          <w:rPr>
            <w:rStyle w:val="Hyperlink"/>
          </w:rPr>
          <w:t>Research data man</w:t>
        </w:r>
        <w:r w:rsidR="0047276C" w:rsidRPr="00576335">
          <w:rPr>
            <w:rStyle w:val="Hyperlink"/>
          </w:rPr>
          <w:t>agement</w:t>
        </w:r>
        <w:r w:rsidR="00576335" w:rsidRPr="00576335">
          <w:rPr>
            <w:rStyle w:val="Hyperlink"/>
          </w:rPr>
          <w:t xml:space="preserve"> website</w:t>
        </w:r>
      </w:hyperlink>
      <w:r w:rsidR="0047276C">
        <w:t xml:space="preserve"> </w:t>
      </w:r>
      <w:r w:rsidR="00576335">
        <w:t xml:space="preserve"> - </w:t>
      </w:r>
      <w:r w:rsidR="0047276C">
        <w:t>including co</w:t>
      </w:r>
      <w:r w:rsidR="00E2061B">
        <w:t>sting</w:t>
      </w:r>
      <w:r w:rsidR="00660005">
        <w:t>s</w:t>
      </w:r>
      <w:r w:rsidR="00E2061B">
        <w:t xml:space="preserve"> for storage and archiving</w:t>
      </w:r>
    </w:p>
    <w:p w14:paraId="55C9601A" w14:textId="77777777" w:rsidR="00C0376A" w:rsidRDefault="00C0376A" w:rsidP="00660005">
      <w:pPr>
        <w:spacing w:after="0" w:line="240" w:lineRule="auto"/>
      </w:pPr>
    </w:p>
    <w:p w14:paraId="2978BB62" w14:textId="3D2A5297" w:rsidR="00C0376A" w:rsidRDefault="00EA7AFB" w:rsidP="00660005">
      <w:pPr>
        <w:spacing w:after="0" w:line="240" w:lineRule="auto"/>
      </w:pPr>
      <w:hyperlink r:id="rId22" w:history="1">
        <w:r w:rsidR="00C0376A" w:rsidRPr="00C0376A">
          <w:rPr>
            <w:rStyle w:val="Hyperlink"/>
          </w:rPr>
          <w:t xml:space="preserve">Research data archive </w:t>
        </w:r>
        <w:r w:rsidR="00C0376A">
          <w:rPr>
            <w:rStyle w:val="Hyperlink"/>
          </w:rPr>
          <w:t>–</w:t>
        </w:r>
      </w:hyperlink>
      <w:r w:rsidR="00C0376A">
        <w:t xml:space="preserve"> details on how and what to store plus costs </w:t>
      </w:r>
    </w:p>
    <w:p w14:paraId="046614B9" w14:textId="77777777" w:rsidR="00660005" w:rsidRDefault="00660005" w:rsidP="00660005">
      <w:pPr>
        <w:spacing w:after="0" w:line="240" w:lineRule="auto"/>
        <w:rPr>
          <w:b/>
          <w:u w:val="single"/>
        </w:rPr>
      </w:pPr>
    </w:p>
    <w:p w14:paraId="18E98272" w14:textId="77777777" w:rsidR="001120CB" w:rsidRPr="001120CB" w:rsidRDefault="001120CB"/>
    <w:p w14:paraId="44E9EF70" w14:textId="77777777" w:rsidR="00761C4F" w:rsidRPr="0047276C" w:rsidRDefault="00761C4F" w:rsidP="00D547D7">
      <w:pPr>
        <w:pStyle w:val="Heading1"/>
      </w:pPr>
      <w:bookmarkStart w:id="4" w:name="_Toc499287710"/>
      <w:r w:rsidRPr="0047276C">
        <w:t>Staff</w:t>
      </w:r>
      <w:bookmarkEnd w:id="4"/>
    </w:p>
    <w:p w14:paraId="5D9363FE" w14:textId="77777777" w:rsidR="00670993" w:rsidRDefault="00430475" w:rsidP="00EA7AFB">
      <w:pPr>
        <w:jc w:val="both"/>
      </w:pPr>
      <w:r>
        <w:t>Research Services will calculate any staff costs including related estates and indirect costs.</w:t>
      </w:r>
      <w:r w:rsidR="00670993">
        <w:t xml:space="preserve"> This includes salary costs for academic staff, research assistants, PhD students and technicians. We will also calculate any teaching replacement costs.</w:t>
      </w:r>
    </w:p>
    <w:p w14:paraId="5052521F" w14:textId="2BD78EFC" w:rsidR="00F3041A" w:rsidRDefault="008353D0" w:rsidP="00EA7AFB">
      <w:pPr>
        <w:jc w:val="both"/>
      </w:pPr>
      <w:r>
        <w:t>Students can also be employed to undert</w:t>
      </w:r>
      <w:r w:rsidR="00DE13F0">
        <w:t>ake various tasks. The</w:t>
      </w:r>
      <w:r w:rsidR="00761C4F">
        <w:t xml:space="preserve"> </w:t>
      </w:r>
      <w:hyperlink r:id="rId23" w:history="1">
        <w:r w:rsidRPr="00052634">
          <w:rPr>
            <w:rStyle w:val="Hyperlink"/>
          </w:rPr>
          <w:t>Student Worker</w:t>
        </w:r>
        <w:r w:rsidRPr="00052634">
          <w:rPr>
            <w:rStyle w:val="Hyperlink"/>
          </w:rPr>
          <w:t xml:space="preserve"> </w:t>
        </w:r>
        <w:r w:rsidRPr="00052634">
          <w:rPr>
            <w:rStyle w:val="Hyperlink"/>
          </w:rPr>
          <w:t>F</w:t>
        </w:r>
        <w:r w:rsidRPr="00052634">
          <w:rPr>
            <w:rStyle w:val="Hyperlink"/>
          </w:rPr>
          <w:t>ramework</w:t>
        </w:r>
      </w:hyperlink>
      <w:r>
        <w:t xml:space="preserve"> gives a breakdown of the types of work students can undertake and their associated hourly costs. </w:t>
      </w:r>
      <w:r w:rsidR="00AE3FC6">
        <w:t>Holiday pay,</w:t>
      </w:r>
      <w:r w:rsidR="00DE13F0">
        <w:t xml:space="preserve"> </w:t>
      </w:r>
      <w:r>
        <w:t>N</w:t>
      </w:r>
      <w:r w:rsidR="00DE13F0">
        <w:t>ational Insurance and in some cases pension cost</w:t>
      </w:r>
      <w:r w:rsidR="00AE3FC6">
        <w:t>s</w:t>
      </w:r>
      <w:r w:rsidR="00DE13F0">
        <w:t xml:space="preserve"> will need to be added on to the hourly rate</w:t>
      </w:r>
      <w:r w:rsidR="00AE3FC6">
        <w:t>s detailed here</w:t>
      </w:r>
      <w:r w:rsidR="00DE13F0">
        <w:t>. Research Services</w:t>
      </w:r>
      <w:r w:rsidR="00AE3FC6">
        <w:t xml:space="preserve"> can provide this information.</w:t>
      </w:r>
      <w:r w:rsidR="00395C77">
        <w:t xml:space="preserve"> The Campus Jobs service launched in September 2017 can also provide advice on employing casual staff. </w:t>
      </w:r>
      <w:r w:rsidR="00B3506B">
        <w:t>There are limits on the number of hours students can work during term time.</w:t>
      </w:r>
    </w:p>
    <w:p w14:paraId="0D286DF1" w14:textId="630E620B" w:rsidR="00F3041A" w:rsidRDefault="00F3041A" w:rsidP="00EA7AFB">
      <w:pPr>
        <w:jc w:val="both"/>
      </w:pPr>
      <w:r>
        <w:rPr>
          <w:i/>
        </w:rPr>
        <w:t>PhD Students</w:t>
      </w:r>
    </w:p>
    <w:p w14:paraId="39D43DFD" w14:textId="5AE7C431" w:rsidR="00F3041A" w:rsidRDefault="00220091" w:rsidP="00EA7AFB">
      <w:pPr>
        <w:jc w:val="both"/>
      </w:pPr>
      <w:r>
        <w:t xml:space="preserve">Both PhD stipend and fees need to be included for the full duration of a PhD project. Current costs </w:t>
      </w:r>
      <w:r w:rsidR="00052634">
        <w:t xml:space="preserve"> from UKRI </w:t>
      </w:r>
      <w:r>
        <w:t xml:space="preserve">can be found </w:t>
      </w:r>
      <w:hyperlink r:id="rId24" w:history="1">
        <w:r w:rsidRPr="00052634">
          <w:rPr>
            <w:rStyle w:val="Hyperlink"/>
          </w:rPr>
          <w:t>h</w:t>
        </w:r>
        <w:r w:rsidRPr="00052634">
          <w:rPr>
            <w:rStyle w:val="Hyperlink"/>
          </w:rPr>
          <w:t>e</w:t>
        </w:r>
        <w:r w:rsidRPr="00052634">
          <w:rPr>
            <w:rStyle w:val="Hyperlink"/>
          </w:rPr>
          <w:t>re</w:t>
        </w:r>
      </w:hyperlink>
      <w:r w:rsidR="00052634">
        <w:t xml:space="preserve">, which can then be added to the </w:t>
      </w:r>
      <w:proofErr w:type="spellStart"/>
      <w:r w:rsidR="00052634">
        <w:t>UoR</w:t>
      </w:r>
      <w:proofErr w:type="spellEnd"/>
      <w:r w:rsidR="00052634">
        <w:t xml:space="preserve"> costs provided by the </w:t>
      </w:r>
      <w:hyperlink r:id="rId25" w:history="1">
        <w:r w:rsidR="00052634" w:rsidRPr="00052634">
          <w:rPr>
            <w:rStyle w:val="Hyperlink"/>
          </w:rPr>
          <w:t>Graduate School</w:t>
        </w:r>
      </w:hyperlink>
      <w:r>
        <w:t>. Check the scheme notes first as not all funders allow PhD stu</w:t>
      </w:r>
      <w:r w:rsidR="003E4313">
        <w:t>dents to be included on grants (for example PhD fees cannot be included in EU, British Heart Foundation and Parkinson’s UK applications). Travel costs and any other resources costs including extensions may also be included.</w:t>
      </w:r>
    </w:p>
    <w:p w14:paraId="2FF145D6" w14:textId="6204D0D6" w:rsidR="00622CD7" w:rsidRDefault="00622CD7" w:rsidP="00EA7AFB">
      <w:pPr>
        <w:jc w:val="both"/>
        <w:rPr>
          <w:i/>
        </w:rPr>
      </w:pPr>
      <w:r>
        <w:rPr>
          <w:i/>
        </w:rPr>
        <w:t>Consultancy</w:t>
      </w:r>
    </w:p>
    <w:p w14:paraId="0EF6762C" w14:textId="3CC0ED23" w:rsidR="00F3041A" w:rsidRDefault="00AF57D1" w:rsidP="00EA7AFB">
      <w:pPr>
        <w:jc w:val="both"/>
      </w:pPr>
      <w:r>
        <w:t>External expertise can be included on a grant in the form of consultant’s costs. VAT must be included on all consultancy costs</w:t>
      </w:r>
      <w:r w:rsidR="00046C46">
        <w:t xml:space="preserve"> so ensure that any quotes gained from outside organisations or individuals specify whether VAT is already included.</w:t>
      </w:r>
    </w:p>
    <w:p w14:paraId="5FCD357D" w14:textId="5E89F771" w:rsidR="004C0C8B" w:rsidRDefault="004C0C8B" w:rsidP="00EA7AFB">
      <w:pPr>
        <w:jc w:val="both"/>
        <w:rPr>
          <w:i/>
        </w:rPr>
      </w:pPr>
      <w:r>
        <w:rPr>
          <w:i/>
        </w:rPr>
        <w:t>Subcontracts</w:t>
      </w:r>
    </w:p>
    <w:p w14:paraId="318578EC" w14:textId="3AA4FEF4" w:rsidR="006444C3" w:rsidRDefault="006444C3" w:rsidP="00EA7AFB">
      <w:pPr>
        <w:jc w:val="both"/>
      </w:pPr>
      <w:r>
        <w:t>Subcontracts</w:t>
      </w:r>
      <w:r w:rsidR="00D34A62">
        <w:t xml:space="preserve"> can be included in grants unless specifically stated in the funder guidance. VAT must be included on all subcontracts so ensure</w:t>
      </w:r>
      <w:r w:rsidR="009D23A9">
        <w:t xml:space="preserve"> this is included</w:t>
      </w:r>
    </w:p>
    <w:p w14:paraId="40027DE8" w14:textId="2ECEF122" w:rsidR="009D23A9" w:rsidRDefault="009D23A9" w:rsidP="00EA7AFB">
      <w:pPr>
        <w:jc w:val="both"/>
        <w:rPr>
          <w:i/>
        </w:rPr>
      </w:pPr>
      <w:r>
        <w:rPr>
          <w:i/>
        </w:rPr>
        <w:t>Technicians</w:t>
      </w:r>
    </w:p>
    <w:p w14:paraId="66D5B007" w14:textId="5405711A" w:rsidR="009D23A9" w:rsidRPr="009D23A9" w:rsidRDefault="009D23A9" w:rsidP="00EA7AFB">
      <w:pPr>
        <w:jc w:val="both"/>
      </w:pPr>
      <w:r>
        <w:t xml:space="preserve">Where named technicians are included check with Karen Henderson about the time available for them to commit to the project. </w:t>
      </w:r>
    </w:p>
    <w:p w14:paraId="50561E5F" w14:textId="77777777" w:rsidR="00046C46" w:rsidRDefault="00046C46"/>
    <w:p w14:paraId="32BCB475" w14:textId="77777777" w:rsidR="008B075A" w:rsidRDefault="008B075A">
      <w:pPr>
        <w:rPr>
          <w:b/>
          <w:i/>
        </w:rPr>
      </w:pPr>
      <w:r>
        <w:rPr>
          <w:b/>
          <w:i/>
        </w:rPr>
        <w:t>Useful Links:</w:t>
      </w:r>
    </w:p>
    <w:p w14:paraId="0C63AFDE" w14:textId="77777777" w:rsidR="008B075A" w:rsidRDefault="00EA7AFB">
      <w:hyperlink r:id="rId26" w:history="1">
        <w:r w:rsidR="008B075A" w:rsidRPr="008B075A">
          <w:rPr>
            <w:rStyle w:val="Hyperlink"/>
          </w:rPr>
          <w:t>Student Worker Fra</w:t>
        </w:r>
        <w:r w:rsidR="008B075A" w:rsidRPr="008B075A">
          <w:rPr>
            <w:rStyle w:val="Hyperlink"/>
          </w:rPr>
          <w:t>m</w:t>
        </w:r>
        <w:r w:rsidR="008B075A" w:rsidRPr="008B075A">
          <w:rPr>
            <w:rStyle w:val="Hyperlink"/>
          </w:rPr>
          <w:t>ework</w:t>
        </w:r>
      </w:hyperlink>
      <w:r w:rsidR="008B075A">
        <w:t xml:space="preserve"> – hourly charges for different types of student work</w:t>
      </w:r>
    </w:p>
    <w:p w14:paraId="675E9670" w14:textId="77777777" w:rsidR="008B075A" w:rsidRDefault="00EA7AFB">
      <w:hyperlink r:id="rId27" w:history="1">
        <w:r w:rsidR="008B075A" w:rsidRPr="008B075A">
          <w:rPr>
            <w:rStyle w:val="Hyperlink"/>
          </w:rPr>
          <w:t>HR Busine</w:t>
        </w:r>
        <w:r w:rsidR="008B075A" w:rsidRPr="008B075A">
          <w:rPr>
            <w:rStyle w:val="Hyperlink"/>
          </w:rPr>
          <w:t>s</w:t>
        </w:r>
        <w:r w:rsidR="008B075A" w:rsidRPr="008B075A">
          <w:rPr>
            <w:rStyle w:val="Hyperlink"/>
          </w:rPr>
          <w:t>s Partners</w:t>
        </w:r>
      </w:hyperlink>
      <w:r w:rsidR="008B075A">
        <w:t xml:space="preserve"> – contact details for relevant business partner</w:t>
      </w:r>
    </w:p>
    <w:p w14:paraId="32BE28C5" w14:textId="77777777" w:rsidR="008B075A" w:rsidRDefault="008B075A" w:rsidP="008C6FC1">
      <w:pPr>
        <w:rPr>
          <w:b/>
          <w:u w:val="single"/>
        </w:rPr>
      </w:pPr>
    </w:p>
    <w:p w14:paraId="442EDE7D" w14:textId="77777777" w:rsidR="008C6FC1" w:rsidRDefault="007D569A" w:rsidP="00D547D7">
      <w:pPr>
        <w:pStyle w:val="Heading1"/>
      </w:pPr>
      <w:bookmarkStart w:id="5" w:name="_Toc499287711"/>
      <w:r>
        <w:t>Printing and Publicity</w:t>
      </w:r>
      <w:bookmarkEnd w:id="5"/>
    </w:p>
    <w:p w14:paraId="551A41D8" w14:textId="7BC29067" w:rsidR="00070EAD" w:rsidRDefault="007D569A" w:rsidP="00EA7AFB">
      <w:pPr>
        <w:jc w:val="both"/>
      </w:pPr>
      <w:r>
        <w:t xml:space="preserve">The University Design and Print Service </w:t>
      </w:r>
      <w:r w:rsidR="00341852">
        <w:t xml:space="preserve">(DPS) </w:t>
      </w:r>
      <w:r>
        <w:t xml:space="preserve">can provide support in producing publicity material for any events, workshop resources and printing of materials. </w:t>
      </w:r>
      <w:r w:rsidR="00070EAD">
        <w:t>Their internal website has a booking request form where quotes for specific print jobs can be obtained</w:t>
      </w:r>
      <w:r w:rsidR="00341852">
        <w:t>*</w:t>
      </w:r>
      <w:r w:rsidR="00070EAD">
        <w:t xml:space="preserve">. Check the scheme requirements to see if printing and publicity costs are eligible as they aren’t always. Where possible give as much detail in the cost justification </w:t>
      </w:r>
      <w:proofErr w:type="spellStart"/>
      <w:r w:rsidR="00070EAD">
        <w:t>e.g</w:t>
      </w:r>
      <w:proofErr w:type="spellEnd"/>
      <w:r w:rsidR="00070EAD">
        <w:t>:</w:t>
      </w:r>
    </w:p>
    <w:p w14:paraId="6B5CCC8A" w14:textId="77777777" w:rsidR="00070EAD" w:rsidRDefault="00070EAD" w:rsidP="00070EAD">
      <w:pPr>
        <w:spacing w:after="0" w:line="240" w:lineRule="auto"/>
        <w:jc w:val="center"/>
        <w:rPr>
          <w:i/>
        </w:rPr>
      </w:pPr>
      <w:r>
        <w:rPr>
          <w:i/>
        </w:rPr>
        <w:t>Printing of workshop feedback sheet – 25x 10p per page, black and white,</w:t>
      </w:r>
    </w:p>
    <w:p w14:paraId="621FB880" w14:textId="77777777" w:rsidR="00070EAD" w:rsidRDefault="00070EAD" w:rsidP="00070EAD">
      <w:pPr>
        <w:spacing w:after="0" w:line="240" w:lineRule="auto"/>
        <w:jc w:val="center"/>
        <w:rPr>
          <w:i/>
        </w:rPr>
      </w:pPr>
      <w:r>
        <w:rPr>
          <w:i/>
        </w:rPr>
        <w:t>stapled = £25.00</w:t>
      </w:r>
    </w:p>
    <w:p w14:paraId="75F5F5C4" w14:textId="77777777" w:rsidR="00070EAD" w:rsidRDefault="00070EAD" w:rsidP="00070EAD">
      <w:pPr>
        <w:spacing w:after="0" w:line="240" w:lineRule="auto"/>
        <w:jc w:val="center"/>
        <w:rPr>
          <w:i/>
        </w:rPr>
      </w:pPr>
    </w:p>
    <w:p w14:paraId="3B6EFD39" w14:textId="24CFC2EC" w:rsidR="00341852" w:rsidRPr="00341852" w:rsidRDefault="00341852" w:rsidP="00EA7AFB">
      <w:pPr>
        <w:spacing w:after="0" w:line="240" w:lineRule="auto"/>
        <w:jc w:val="both"/>
      </w:pPr>
      <w:r>
        <w:t xml:space="preserve">*Note – the University DPS can’t be used for Research Council or EU bids as there is no audit trail. For these bids we can either use a DPS quote and add VAT on to represent an equivalent external quote </w:t>
      </w:r>
      <w:r>
        <w:rPr>
          <w:i/>
        </w:rPr>
        <w:t>or</w:t>
      </w:r>
      <w:r>
        <w:t xml:space="preserve"> RES can work with DPS to get an equivalent amount of staff time for the job.</w:t>
      </w:r>
    </w:p>
    <w:p w14:paraId="2BF5580A" w14:textId="77777777" w:rsidR="00341852" w:rsidRDefault="00341852" w:rsidP="00EA7AFB">
      <w:pPr>
        <w:spacing w:after="0" w:line="240" w:lineRule="auto"/>
        <w:jc w:val="both"/>
        <w:rPr>
          <w:i/>
        </w:rPr>
      </w:pPr>
    </w:p>
    <w:p w14:paraId="77E25649" w14:textId="77777777" w:rsidR="00070EAD" w:rsidRDefault="00070EAD" w:rsidP="00EA7AFB">
      <w:pPr>
        <w:spacing w:after="0" w:line="240" w:lineRule="auto"/>
        <w:jc w:val="both"/>
        <w:rPr>
          <w:b/>
          <w:i/>
        </w:rPr>
      </w:pPr>
      <w:r>
        <w:rPr>
          <w:b/>
          <w:i/>
        </w:rPr>
        <w:t>Useful Links:</w:t>
      </w:r>
    </w:p>
    <w:p w14:paraId="411538EA" w14:textId="77777777" w:rsidR="00070EAD" w:rsidRPr="00070EAD" w:rsidRDefault="00EA7AFB" w:rsidP="00EA7AFB">
      <w:pPr>
        <w:spacing w:after="0" w:line="240" w:lineRule="auto"/>
        <w:jc w:val="both"/>
      </w:pPr>
      <w:hyperlink r:id="rId28" w:history="1">
        <w:r w:rsidR="00070EAD" w:rsidRPr="00070EAD">
          <w:rPr>
            <w:rStyle w:val="Hyperlink"/>
          </w:rPr>
          <w:t xml:space="preserve">Design and Print </w:t>
        </w:r>
        <w:r w:rsidR="00070EAD" w:rsidRPr="00070EAD">
          <w:rPr>
            <w:rStyle w:val="Hyperlink"/>
          </w:rPr>
          <w:t>S</w:t>
        </w:r>
        <w:r w:rsidR="00070EAD" w:rsidRPr="00070EAD">
          <w:rPr>
            <w:rStyle w:val="Hyperlink"/>
          </w:rPr>
          <w:t>ervice</w:t>
        </w:r>
      </w:hyperlink>
      <w:r w:rsidR="00070EAD">
        <w:t xml:space="preserve"> –University in-house service</w:t>
      </w:r>
    </w:p>
    <w:p w14:paraId="5346B365" w14:textId="3FB8EEEC" w:rsidR="001120CB" w:rsidRDefault="001120CB" w:rsidP="00EA7AFB">
      <w:pPr>
        <w:jc w:val="both"/>
      </w:pPr>
    </w:p>
    <w:p w14:paraId="50336E95" w14:textId="040CB2B5" w:rsidR="00803D9A" w:rsidRPr="002B3CB0" w:rsidRDefault="002B3CB0" w:rsidP="00EA7AFB">
      <w:pPr>
        <w:pStyle w:val="Heading1"/>
        <w:jc w:val="both"/>
      </w:pPr>
      <w:bookmarkStart w:id="6" w:name="_Toc499287712"/>
      <w:r>
        <w:t>Equipment</w:t>
      </w:r>
      <w:bookmarkEnd w:id="6"/>
    </w:p>
    <w:p w14:paraId="145017AF" w14:textId="77777777" w:rsidR="008C0C68" w:rsidRDefault="008C0C68" w:rsidP="00EA7AFB">
      <w:pPr>
        <w:pStyle w:val="NormalWeb"/>
        <w:shd w:val="clear" w:color="auto" w:fill="FFFFFF"/>
        <w:spacing w:before="0" w:beforeAutospacing="0" w:after="0" w:afterAutospacing="0"/>
        <w:jc w:val="both"/>
        <w:rPr>
          <w:rFonts w:asciiTheme="minorHAnsi" w:hAnsiTheme="minorHAnsi"/>
          <w:color w:val="333333"/>
          <w:sz w:val="22"/>
          <w:szCs w:val="22"/>
        </w:rPr>
      </w:pPr>
      <w:r w:rsidRPr="00D547D7">
        <w:rPr>
          <w:rFonts w:asciiTheme="minorHAnsi" w:hAnsiTheme="minorHAnsi"/>
          <w:color w:val="333333"/>
          <w:sz w:val="22"/>
          <w:szCs w:val="22"/>
        </w:rPr>
        <w:t>Equipment is defined as a single item of equipment over £10K.  A full justification is required with their proposal form.  The research councils are unlikely to fund at more than 50% with the final percentage contribution decided after peer review.</w:t>
      </w:r>
    </w:p>
    <w:p w14:paraId="67537075" w14:textId="77777777" w:rsidR="00D547D7" w:rsidRPr="00D547D7" w:rsidRDefault="00D547D7" w:rsidP="00D547D7">
      <w:pPr>
        <w:pStyle w:val="NormalWeb"/>
        <w:shd w:val="clear" w:color="auto" w:fill="FFFFFF"/>
        <w:spacing w:before="0" w:beforeAutospacing="0" w:after="0" w:afterAutospacing="0"/>
        <w:rPr>
          <w:rFonts w:asciiTheme="minorHAnsi" w:hAnsiTheme="minorHAnsi"/>
          <w:color w:val="333333"/>
          <w:sz w:val="22"/>
          <w:szCs w:val="22"/>
        </w:rPr>
      </w:pPr>
    </w:p>
    <w:p w14:paraId="59BEA898" w14:textId="3BC1043E" w:rsidR="00965001" w:rsidRPr="00D547D7" w:rsidRDefault="008C0C68" w:rsidP="00D547D7">
      <w:pPr>
        <w:pStyle w:val="NormalWeb"/>
        <w:shd w:val="clear" w:color="auto" w:fill="FFFFFF"/>
        <w:spacing w:before="0" w:beforeAutospacing="0" w:after="0" w:afterAutospacing="0"/>
        <w:rPr>
          <w:rFonts w:asciiTheme="minorHAnsi" w:hAnsiTheme="minorHAnsi"/>
          <w:color w:val="333333"/>
          <w:sz w:val="22"/>
          <w:szCs w:val="22"/>
        </w:rPr>
      </w:pPr>
      <w:r w:rsidRPr="00D547D7">
        <w:rPr>
          <w:rFonts w:asciiTheme="minorHAnsi" w:hAnsiTheme="minorHAnsi"/>
          <w:color w:val="333333"/>
          <w:sz w:val="22"/>
          <w:szCs w:val="22"/>
        </w:rPr>
        <w:t>See information on equipment on research council grants: </w:t>
      </w:r>
      <w:bookmarkStart w:id="7" w:name="Equipment_on_research_council_grants_fin"/>
      <w:r w:rsidR="00052634">
        <w:rPr>
          <w:rFonts w:asciiTheme="minorHAnsi" w:hAnsiTheme="minorHAnsi"/>
          <w:color w:val="333333"/>
          <w:sz w:val="22"/>
          <w:szCs w:val="22"/>
        </w:rPr>
        <w:fldChar w:fldCharType="begin"/>
      </w:r>
      <w:r w:rsidR="00052634">
        <w:rPr>
          <w:rFonts w:asciiTheme="minorHAnsi" w:hAnsiTheme="minorHAnsi"/>
          <w:color w:val="333333"/>
          <w:sz w:val="22"/>
          <w:szCs w:val="22"/>
        </w:rPr>
        <w:instrText xml:space="preserve"> HYPERLINK "https://www.ukri.org/councils/epsrc/guidance-for-applicants/what-to-include-in-your-proposal/equipment/equipment-on-research-grants/" </w:instrText>
      </w:r>
      <w:r w:rsidR="00052634">
        <w:rPr>
          <w:rFonts w:asciiTheme="minorHAnsi" w:hAnsiTheme="minorHAnsi"/>
          <w:color w:val="333333"/>
          <w:sz w:val="22"/>
          <w:szCs w:val="22"/>
        </w:rPr>
      </w:r>
      <w:r w:rsidR="00052634">
        <w:rPr>
          <w:rFonts w:asciiTheme="minorHAnsi" w:hAnsiTheme="minorHAnsi"/>
          <w:color w:val="333333"/>
          <w:sz w:val="22"/>
          <w:szCs w:val="22"/>
        </w:rPr>
        <w:fldChar w:fldCharType="separate"/>
      </w:r>
      <w:r w:rsidR="00965001" w:rsidRPr="00052634">
        <w:rPr>
          <w:rStyle w:val="Hyperlink"/>
          <w:rFonts w:asciiTheme="minorHAnsi" w:hAnsiTheme="minorHAnsi"/>
          <w:sz w:val="22"/>
          <w:szCs w:val="22"/>
        </w:rPr>
        <w:t>Equipment o</w:t>
      </w:r>
      <w:r w:rsidR="00965001" w:rsidRPr="00052634">
        <w:rPr>
          <w:rStyle w:val="Hyperlink"/>
          <w:rFonts w:asciiTheme="minorHAnsi" w:hAnsiTheme="minorHAnsi"/>
          <w:sz w:val="22"/>
          <w:szCs w:val="22"/>
        </w:rPr>
        <w:t>n</w:t>
      </w:r>
      <w:r w:rsidR="00965001" w:rsidRPr="00052634">
        <w:rPr>
          <w:rStyle w:val="Hyperlink"/>
          <w:rFonts w:asciiTheme="minorHAnsi" w:hAnsiTheme="minorHAnsi"/>
          <w:sz w:val="22"/>
          <w:szCs w:val="22"/>
        </w:rPr>
        <w:t xml:space="preserve"> research council grants</w:t>
      </w:r>
      <w:r w:rsidR="00052634">
        <w:rPr>
          <w:rFonts w:asciiTheme="minorHAnsi" w:hAnsiTheme="minorHAnsi"/>
          <w:color w:val="333333"/>
          <w:sz w:val="22"/>
          <w:szCs w:val="22"/>
        </w:rPr>
        <w:fldChar w:fldCharType="end"/>
      </w:r>
    </w:p>
    <w:bookmarkEnd w:id="7"/>
    <w:p w14:paraId="7CD92568" w14:textId="440D2DE3" w:rsidR="008C0C68" w:rsidRPr="00D547D7" w:rsidRDefault="008C0C68" w:rsidP="00EA7AFB">
      <w:pPr>
        <w:pStyle w:val="NormalWeb"/>
        <w:shd w:val="clear" w:color="auto" w:fill="FFFFFF"/>
        <w:spacing w:before="0" w:beforeAutospacing="0" w:after="0" w:afterAutospacing="0"/>
        <w:jc w:val="both"/>
        <w:rPr>
          <w:rFonts w:asciiTheme="minorHAnsi" w:hAnsiTheme="minorHAnsi"/>
          <w:color w:val="333333"/>
          <w:sz w:val="22"/>
          <w:szCs w:val="22"/>
        </w:rPr>
      </w:pPr>
      <w:r w:rsidRPr="00D547D7">
        <w:rPr>
          <w:rFonts w:asciiTheme="minorHAnsi" w:hAnsiTheme="minorHAnsi"/>
          <w:color w:val="333333"/>
          <w:sz w:val="22"/>
          <w:szCs w:val="22"/>
        </w:rPr>
        <w:t>Applicants must contact the Procurement Department for quotations if equipment over £25K is to be included in an application. For more information on the procurement process, please see the Procurement Department's website. A template of the letter that is sent to all Research Grant recipients from the Procurement Department can be seen</w:t>
      </w:r>
      <w:r w:rsidR="00965001" w:rsidRPr="00D547D7">
        <w:rPr>
          <w:rFonts w:asciiTheme="minorHAnsi" w:hAnsiTheme="minorHAnsi"/>
          <w:color w:val="333333"/>
          <w:sz w:val="22"/>
          <w:szCs w:val="22"/>
        </w:rPr>
        <w:t xml:space="preserve"> </w:t>
      </w:r>
      <w:hyperlink r:id="rId29" w:history="1">
        <w:r w:rsidR="00965001" w:rsidRPr="00EA7AFB">
          <w:rPr>
            <w:rStyle w:val="Hyperlink"/>
            <w:rFonts w:asciiTheme="minorHAnsi" w:hAnsiTheme="minorHAnsi"/>
            <w:sz w:val="22"/>
            <w:szCs w:val="22"/>
          </w:rPr>
          <w:t>her</w:t>
        </w:r>
        <w:r w:rsidR="00965001" w:rsidRPr="00EA7AFB">
          <w:rPr>
            <w:rStyle w:val="Hyperlink"/>
            <w:rFonts w:asciiTheme="minorHAnsi" w:hAnsiTheme="minorHAnsi"/>
            <w:sz w:val="22"/>
            <w:szCs w:val="22"/>
          </w:rPr>
          <w:t>e</w:t>
        </w:r>
      </w:hyperlink>
      <w:r w:rsidR="00965001" w:rsidRPr="00EA7AFB">
        <w:rPr>
          <w:rFonts w:asciiTheme="minorHAnsi" w:hAnsiTheme="minorHAnsi"/>
          <w:sz w:val="22"/>
          <w:szCs w:val="22"/>
        </w:rPr>
        <w:t>.</w:t>
      </w:r>
      <w:r w:rsidRPr="00EA7AFB">
        <w:rPr>
          <w:rFonts w:asciiTheme="minorHAnsi" w:hAnsiTheme="minorHAnsi"/>
          <w:sz w:val="22"/>
          <w:szCs w:val="22"/>
        </w:rPr>
        <w:t> </w:t>
      </w:r>
    </w:p>
    <w:p w14:paraId="209C9F2B" w14:textId="77777777" w:rsidR="00930547" w:rsidRDefault="00930547" w:rsidP="00EA7AFB">
      <w:pPr>
        <w:jc w:val="both"/>
      </w:pPr>
    </w:p>
    <w:p w14:paraId="1810F1BB" w14:textId="77777777" w:rsidR="00930547" w:rsidRPr="00215F08" w:rsidRDefault="00930547" w:rsidP="00EA7AFB">
      <w:pPr>
        <w:pStyle w:val="Heading1"/>
        <w:spacing w:line="360" w:lineRule="auto"/>
        <w:jc w:val="both"/>
      </w:pPr>
      <w:bookmarkStart w:id="8" w:name="_Toc499287713"/>
      <w:r w:rsidRPr="00545D90">
        <w:t xml:space="preserve">EU </w:t>
      </w:r>
      <w:r>
        <w:t>applications specific costs</w:t>
      </w:r>
      <w:bookmarkEnd w:id="8"/>
    </w:p>
    <w:p w14:paraId="5D164249" w14:textId="77777777" w:rsidR="00930547" w:rsidRDefault="00930547" w:rsidP="00EA7AFB">
      <w:pPr>
        <w:spacing w:line="240" w:lineRule="atLeast"/>
        <w:jc w:val="both"/>
        <w:rPr>
          <w:b/>
        </w:rPr>
      </w:pPr>
      <w:r w:rsidRPr="00545D90">
        <w:rPr>
          <w:b/>
        </w:rPr>
        <w:t>Audit costs</w:t>
      </w:r>
    </w:p>
    <w:p w14:paraId="39F9E2EE" w14:textId="0BF941BD" w:rsidR="00930547" w:rsidRDefault="00930547" w:rsidP="00EA7AFB">
      <w:pPr>
        <w:pStyle w:val="NormalWeb"/>
        <w:shd w:val="clear" w:color="auto" w:fill="FFFFFF"/>
        <w:spacing w:before="0" w:beforeAutospacing="0" w:after="0" w:afterAutospacing="0"/>
        <w:jc w:val="both"/>
        <w:rPr>
          <w:rFonts w:asciiTheme="minorHAnsi" w:hAnsiTheme="minorHAnsi"/>
          <w:color w:val="333333"/>
          <w:sz w:val="22"/>
          <w:szCs w:val="22"/>
        </w:rPr>
      </w:pPr>
      <w:r w:rsidRPr="00B201B3">
        <w:rPr>
          <w:rFonts w:asciiTheme="minorHAnsi" w:hAnsiTheme="minorHAnsi"/>
          <w:color w:val="333333"/>
          <w:sz w:val="22"/>
          <w:szCs w:val="22"/>
        </w:rPr>
        <w:t>Under Horizon 2020, audit costs will count as a direct cost as “Contract to purchase goods, works or services” and therefore will incur overheads.  For EU bids where the €</w:t>
      </w:r>
      <w:r w:rsidR="00EA7AFB">
        <w:rPr>
          <w:rFonts w:asciiTheme="minorHAnsi" w:hAnsiTheme="minorHAnsi"/>
          <w:color w:val="333333"/>
          <w:sz w:val="22"/>
          <w:szCs w:val="22"/>
        </w:rPr>
        <w:t>430</w:t>
      </w:r>
      <w:r w:rsidRPr="00B201B3">
        <w:rPr>
          <w:rFonts w:asciiTheme="minorHAnsi" w:hAnsiTheme="minorHAnsi"/>
          <w:color w:val="333333"/>
          <w:sz w:val="22"/>
          <w:szCs w:val="22"/>
        </w:rPr>
        <w:t>k threshold is exceeded (excluding indirect costs), please allow costs for the end of project audit as per below table.</w:t>
      </w:r>
      <w:r w:rsidR="00EA7AFB">
        <w:rPr>
          <w:rFonts w:asciiTheme="minorHAnsi" w:hAnsiTheme="minorHAnsi"/>
          <w:color w:val="333333"/>
          <w:sz w:val="22"/>
          <w:szCs w:val="22"/>
        </w:rPr>
        <w:t xml:space="preserve">  For lumpsum projects there will be no requirement for audit costs to be included. </w:t>
      </w:r>
      <w:r w:rsidRPr="00B201B3">
        <w:rPr>
          <w:rFonts w:asciiTheme="minorHAnsi" w:hAnsiTheme="minorHAnsi"/>
          <w:color w:val="333333"/>
          <w:sz w:val="22"/>
          <w:szCs w:val="22"/>
        </w:rPr>
        <w:t xml:space="preserve"> ERC grants are much larger with end of project audits requiring more work, and therefore ERC bids should be treated as ‘coordinating’ projects.</w:t>
      </w:r>
    </w:p>
    <w:p w14:paraId="59762B03" w14:textId="77777777" w:rsidR="006301E5" w:rsidRDefault="006301E5" w:rsidP="00930547">
      <w:pPr>
        <w:pStyle w:val="NormalWeb"/>
        <w:shd w:val="clear" w:color="auto" w:fill="FFFFFF"/>
        <w:spacing w:before="0" w:beforeAutospacing="0" w:after="0" w:afterAutospacing="0"/>
        <w:rPr>
          <w:rFonts w:asciiTheme="minorHAnsi" w:hAnsiTheme="minorHAnsi"/>
          <w:color w:val="333333"/>
          <w:sz w:val="22"/>
          <w:szCs w:val="22"/>
        </w:rPr>
      </w:pPr>
    </w:p>
    <w:p w14:paraId="30A02D58" w14:textId="77777777" w:rsidR="006301E5" w:rsidRDefault="006301E5" w:rsidP="00930547">
      <w:pPr>
        <w:pStyle w:val="NormalWeb"/>
        <w:shd w:val="clear" w:color="auto" w:fill="FFFFFF"/>
        <w:spacing w:before="0" w:beforeAutospacing="0" w:after="0" w:afterAutospacing="0"/>
        <w:rPr>
          <w:rFonts w:asciiTheme="minorHAnsi" w:hAnsiTheme="minorHAnsi"/>
          <w:color w:val="333333"/>
          <w:sz w:val="22"/>
          <w:szCs w:val="22"/>
        </w:rPr>
      </w:pPr>
    </w:p>
    <w:p w14:paraId="0BF86369" w14:textId="77777777" w:rsidR="006301E5" w:rsidRDefault="006301E5" w:rsidP="00930547">
      <w:pPr>
        <w:pStyle w:val="NormalWeb"/>
        <w:shd w:val="clear" w:color="auto" w:fill="FFFFFF"/>
        <w:spacing w:before="0" w:beforeAutospacing="0" w:after="0" w:afterAutospacing="0"/>
        <w:rPr>
          <w:rFonts w:asciiTheme="minorHAnsi" w:hAnsiTheme="minorHAnsi"/>
          <w:color w:val="333333"/>
          <w:sz w:val="22"/>
          <w:szCs w:val="22"/>
        </w:rPr>
      </w:pPr>
    </w:p>
    <w:p w14:paraId="530A6FD6" w14:textId="77777777" w:rsidR="006301E5" w:rsidRDefault="006301E5" w:rsidP="00930547">
      <w:pPr>
        <w:pStyle w:val="NormalWeb"/>
        <w:shd w:val="clear" w:color="auto" w:fill="FFFFFF"/>
        <w:spacing w:before="0" w:beforeAutospacing="0" w:after="0" w:afterAutospacing="0"/>
        <w:rPr>
          <w:rFonts w:asciiTheme="minorHAnsi" w:hAnsiTheme="minorHAnsi"/>
          <w:color w:val="333333"/>
          <w:sz w:val="22"/>
          <w:szCs w:val="22"/>
        </w:rPr>
      </w:pPr>
    </w:p>
    <w:p w14:paraId="52714387" w14:textId="77777777" w:rsidR="006301E5" w:rsidRDefault="006301E5" w:rsidP="00930547">
      <w:pPr>
        <w:pStyle w:val="NormalWeb"/>
        <w:shd w:val="clear" w:color="auto" w:fill="FFFFFF"/>
        <w:spacing w:before="0" w:beforeAutospacing="0" w:after="0" w:afterAutospacing="0"/>
        <w:rPr>
          <w:rFonts w:asciiTheme="minorHAnsi" w:hAnsiTheme="minorHAnsi"/>
          <w:color w:val="333333"/>
          <w:sz w:val="22"/>
          <w:szCs w:val="22"/>
        </w:rPr>
      </w:pPr>
    </w:p>
    <w:p w14:paraId="42839A54" w14:textId="77777777" w:rsidR="00930547" w:rsidRPr="00B201B3" w:rsidRDefault="00930547" w:rsidP="00930547">
      <w:pPr>
        <w:pStyle w:val="NormalWeb"/>
        <w:shd w:val="clear" w:color="auto" w:fill="FFFFFF"/>
        <w:spacing w:before="0" w:beforeAutospacing="0" w:after="0" w:afterAutospacing="0"/>
        <w:rPr>
          <w:rFonts w:asciiTheme="minorHAnsi" w:hAnsiTheme="minorHAnsi"/>
          <w:color w:val="333333"/>
          <w:sz w:val="22"/>
          <w:szCs w:val="22"/>
        </w:rPr>
      </w:pPr>
    </w:p>
    <w:p w14:paraId="4DC46880" w14:textId="77777777" w:rsidR="00930547" w:rsidRPr="00D25A3F" w:rsidRDefault="00930547" w:rsidP="00930547">
      <w:r w:rsidRPr="00D25A3F">
        <w:t>Audit costs including 20% VAT:</w:t>
      </w:r>
    </w:p>
    <w:tbl>
      <w:tblPr>
        <w:tblW w:w="9639" w:type="dxa"/>
        <w:tblInd w:w="-316" w:type="dxa"/>
        <w:tblCellMar>
          <w:left w:w="0" w:type="dxa"/>
          <w:right w:w="0" w:type="dxa"/>
        </w:tblCellMar>
        <w:tblLook w:val="04A0" w:firstRow="1" w:lastRow="0" w:firstColumn="1" w:lastColumn="0" w:noHBand="0" w:noVBand="1"/>
      </w:tblPr>
      <w:tblGrid>
        <w:gridCol w:w="4394"/>
        <w:gridCol w:w="2410"/>
        <w:gridCol w:w="2835"/>
      </w:tblGrid>
      <w:tr w:rsidR="00930547" w:rsidRPr="00D25A3F" w14:paraId="41A04B40" w14:textId="77777777" w:rsidTr="009577D2">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E9C421" w14:textId="77777777" w:rsidR="00930547" w:rsidRPr="00D25A3F" w:rsidRDefault="00930547" w:rsidP="009577D2">
            <w:pPr>
              <w:ind w:left="330"/>
            </w:pPr>
            <w:r w:rsidRPr="00D25A3F">
              <w:t>Project duration &amp; EU contribution value (excluding indirect costs)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15E05B" w14:textId="77777777" w:rsidR="00930547" w:rsidRPr="00D25A3F" w:rsidRDefault="00930547" w:rsidP="009577D2">
            <w:pPr>
              <w:ind w:left="330"/>
            </w:pPr>
            <w:r w:rsidRPr="00D25A3F">
              <w:t>Reading as Partner</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4CF002" w14:textId="77777777" w:rsidR="00930547" w:rsidRPr="00D25A3F" w:rsidRDefault="00930547" w:rsidP="009577D2">
            <w:pPr>
              <w:ind w:left="330"/>
            </w:pPr>
            <w:r w:rsidRPr="00D25A3F">
              <w:t>Reading as Coordinator</w:t>
            </w:r>
          </w:p>
        </w:tc>
      </w:tr>
      <w:tr w:rsidR="00930547" w:rsidRPr="00D25A3F" w14:paraId="00D0495D" w14:textId="77777777" w:rsidTr="009577D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3BDE0" w14:textId="677A3F49" w:rsidR="00930547" w:rsidRPr="00D25A3F" w:rsidRDefault="00930547" w:rsidP="009577D2">
            <w:pPr>
              <w:ind w:left="330"/>
            </w:pPr>
            <w:r w:rsidRPr="00D25A3F">
              <w:t>Projects &lt;3 years and €</w:t>
            </w:r>
            <w:r w:rsidR="00EA7AFB">
              <w:t>430</w:t>
            </w:r>
            <w:r w:rsidRPr="00D25A3F">
              <w:t>K to €1M</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C481C3C" w14:textId="77777777" w:rsidR="00930547" w:rsidRPr="00D25A3F" w:rsidRDefault="00930547" w:rsidP="009577D2">
            <w:pPr>
              <w:ind w:left="330"/>
            </w:pPr>
            <w:r w:rsidRPr="00D25A3F">
              <w:t>£3,000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56FE5D1" w14:textId="77777777" w:rsidR="00930547" w:rsidRPr="00D25A3F" w:rsidRDefault="00930547" w:rsidP="009577D2">
            <w:pPr>
              <w:ind w:left="330"/>
            </w:pPr>
            <w:r w:rsidRPr="00D25A3F">
              <w:t>£4,000</w:t>
            </w:r>
          </w:p>
        </w:tc>
      </w:tr>
      <w:tr w:rsidR="00930547" w:rsidRPr="00D25A3F" w14:paraId="4740CE5B" w14:textId="77777777" w:rsidTr="009577D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1E5F" w14:textId="388667D6" w:rsidR="00930547" w:rsidRPr="00D25A3F" w:rsidRDefault="00930547" w:rsidP="009577D2">
            <w:pPr>
              <w:ind w:left="330"/>
            </w:pPr>
            <w:r w:rsidRPr="00D25A3F">
              <w:t>Projects &gt;3 years and €</w:t>
            </w:r>
            <w:r w:rsidR="00EA7AFB">
              <w:t>430</w:t>
            </w:r>
            <w:r w:rsidRPr="00D25A3F">
              <w:t>K to €1M</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6E8F515" w14:textId="77777777" w:rsidR="00930547" w:rsidRPr="00D25A3F" w:rsidRDefault="00930547" w:rsidP="009577D2">
            <w:pPr>
              <w:ind w:left="330"/>
            </w:pPr>
            <w:r w:rsidRPr="00D25A3F">
              <w:t>£3,500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20F1260" w14:textId="77777777" w:rsidR="00930547" w:rsidRPr="00D25A3F" w:rsidRDefault="00930547" w:rsidP="009577D2">
            <w:pPr>
              <w:ind w:left="330"/>
            </w:pPr>
            <w:r w:rsidRPr="00D25A3F">
              <w:t>£4,500</w:t>
            </w:r>
          </w:p>
        </w:tc>
      </w:tr>
      <w:tr w:rsidR="00930547" w:rsidRPr="00D25A3F" w14:paraId="5DEC4AF0" w14:textId="77777777" w:rsidTr="009577D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95F0A" w14:textId="77777777" w:rsidR="00930547" w:rsidRPr="00D25A3F" w:rsidRDefault="00930547" w:rsidP="009577D2">
            <w:pPr>
              <w:ind w:left="330"/>
            </w:pPr>
            <w:r w:rsidRPr="00D25A3F">
              <w:t>All Projects over €1M and all ERC bids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FFFBE46" w14:textId="77777777" w:rsidR="00930547" w:rsidRPr="00D25A3F" w:rsidRDefault="00930547" w:rsidP="009577D2">
            <w:pPr>
              <w:ind w:left="330"/>
            </w:pPr>
            <w:r w:rsidRPr="00D25A3F">
              <w:t>£4,000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13373BF" w14:textId="77777777" w:rsidR="00930547" w:rsidRPr="00D25A3F" w:rsidRDefault="00930547" w:rsidP="009577D2">
            <w:pPr>
              <w:ind w:left="330"/>
            </w:pPr>
            <w:r w:rsidRPr="00D25A3F">
              <w:t>£5,000</w:t>
            </w:r>
          </w:p>
        </w:tc>
      </w:tr>
    </w:tbl>
    <w:p w14:paraId="2FE5A5A8" w14:textId="265EB285" w:rsidR="00930547" w:rsidRDefault="00930547" w:rsidP="00D547D7">
      <w:r>
        <w:t>(annual inflation and XR are applied on top of these figures)</w:t>
      </w:r>
    </w:p>
    <w:p w14:paraId="4DC2A083" w14:textId="3E9495E2" w:rsidR="002E561B" w:rsidRDefault="002E561B" w:rsidP="00D547D7">
      <w:pPr>
        <w:pStyle w:val="Heading1"/>
      </w:pPr>
      <w:bookmarkStart w:id="9" w:name="_Toc499287714"/>
      <w:r>
        <w:t>Facilities</w:t>
      </w:r>
      <w:bookmarkEnd w:id="9"/>
    </w:p>
    <w:p w14:paraId="6546E633" w14:textId="77777777" w:rsidR="002E561B" w:rsidRDefault="002E561B" w:rsidP="002E561B">
      <w:pPr>
        <w:pStyle w:val="NoSpacing"/>
      </w:pPr>
    </w:p>
    <w:p w14:paraId="781D05BE" w14:textId="77777777" w:rsidR="002E561B" w:rsidRDefault="002E561B" w:rsidP="00EA7AFB">
      <w:pPr>
        <w:pStyle w:val="NoSpacing"/>
        <w:jc w:val="both"/>
      </w:pPr>
      <w:r>
        <w:t xml:space="preserve">Within a research grant budget the term ‘facilities’ will most commonly refer to those costs associated with the </w:t>
      </w:r>
      <w:r w:rsidRPr="00072ECD">
        <w:rPr>
          <w:i/>
        </w:rPr>
        <w:t>use of</w:t>
      </w:r>
      <w:r>
        <w:t xml:space="preserve"> </w:t>
      </w:r>
      <w:r>
        <w:rPr>
          <w:i/>
        </w:rPr>
        <w:t xml:space="preserve">existing </w:t>
      </w:r>
      <w:r w:rsidRPr="00072ECD">
        <w:rPr>
          <w:i/>
        </w:rPr>
        <w:t>equipment</w:t>
      </w:r>
      <w:r>
        <w:t xml:space="preserve"> at the University of Reading, which has been made available for general use by staff engaged in research projects.</w:t>
      </w:r>
    </w:p>
    <w:p w14:paraId="0C72345A" w14:textId="77777777" w:rsidR="002E561B" w:rsidRDefault="002E561B" w:rsidP="00EA7AFB">
      <w:pPr>
        <w:pStyle w:val="NoSpacing"/>
        <w:jc w:val="both"/>
      </w:pPr>
    </w:p>
    <w:p w14:paraId="144F0A95" w14:textId="77777777" w:rsidR="002E561B" w:rsidRDefault="002E561B" w:rsidP="00EA7AFB">
      <w:pPr>
        <w:pStyle w:val="NoSpacing"/>
        <w:jc w:val="both"/>
      </w:pPr>
      <w:r>
        <w:t>The University holds a central list of available facilities, and has an agreed per-unit cost for each. Grant applicants wishing to make use of University facilities will need to estimate how many facility ‘units’ they require over the course of their project. Unless guidelines state otherwise, these costs should be sought from the prospective funder.</w:t>
      </w:r>
    </w:p>
    <w:p w14:paraId="3755BE36" w14:textId="77777777" w:rsidR="002E561B" w:rsidRDefault="002E561B" w:rsidP="00EA7AFB">
      <w:pPr>
        <w:pStyle w:val="NoSpacing"/>
        <w:jc w:val="both"/>
      </w:pPr>
    </w:p>
    <w:p w14:paraId="6F6EED6A" w14:textId="77777777" w:rsidR="002E561B" w:rsidRDefault="002E561B" w:rsidP="00EA7AFB">
      <w:pPr>
        <w:pStyle w:val="NoSpacing"/>
        <w:jc w:val="both"/>
      </w:pPr>
      <w:r>
        <w:t>Amongst the University facilities whose costs can be included in this way are:</w:t>
      </w:r>
    </w:p>
    <w:p w14:paraId="0D96E682" w14:textId="77777777" w:rsidR="002E561B" w:rsidRDefault="002E561B" w:rsidP="002E561B">
      <w:pPr>
        <w:pStyle w:val="NoSpacing"/>
        <w:numPr>
          <w:ilvl w:val="0"/>
          <w:numId w:val="6"/>
        </w:numPr>
      </w:pPr>
      <w:r>
        <w:t>The Bioresource unit</w:t>
      </w:r>
    </w:p>
    <w:p w14:paraId="7115CB63" w14:textId="77777777" w:rsidR="002E561B" w:rsidRDefault="002E561B" w:rsidP="002E561B">
      <w:pPr>
        <w:pStyle w:val="NoSpacing"/>
        <w:numPr>
          <w:ilvl w:val="0"/>
          <w:numId w:val="6"/>
        </w:numPr>
      </w:pPr>
      <w:r>
        <w:t>Chemical Analysis Facility, or ‘CAF’ instruments</w:t>
      </w:r>
    </w:p>
    <w:p w14:paraId="6C287DB6" w14:textId="77777777" w:rsidR="002E561B" w:rsidRDefault="002E561B" w:rsidP="002E561B">
      <w:pPr>
        <w:pStyle w:val="NoSpacing"/>
        <w:numPr>
          <w:ilvl w:val="0"/>
          <w:numId w:val="6"/>
        </w:numPr>
      </w:pPr>
      <w:r>
        <w:t>Facilities at the Cedar Farm research unit</w:t>
      </w:r>
    </w:p>
    <w:p w14:paraId="686BACEB" w14:textId="77777777" w:rsidR="002E561B" w:rsidRDefault="002E561B" w:rsidP="002E561B">
      <w:pPr>
        <w:pStyle w:val="NoSpacing"/>
        <w:numPr>
          <w:ilvl w:val="0"/>
          <w:numId w:val="6"/>
        </w:numPr>
      </w:pPr>
      <w:r>
        <w:t>Electron Microscopy Laboratory ‘EML’ equipment</w:t>
      </w:r>
    </w:p>
    <w:p w14:paraId="05D5B2AE" w14:textId="77777777" w:rsidR="002E561B" w:rsidRDefault="002E561B" w:rsidP="002E561B">
      <w:pPr>
        <w:pStyle w:val="NoSpacing"/>
        <w:numPr>
          <w:ilvl w:val="0"/>
          <w:numId w:val="6"/>
        </w:numPr>
      </w:pPr>
      <w:r>
        <w:t>The Hugh Sinclair Unit</w:t>
      </w:r>
    </w:p>
    <w:p w14:paraId="723461A0" w14:textId="77777777" w:rsidR="002E561B" w:rsidRDefault="002E561B" w:rsidP="002E561B">
      <w:pPr>
        <w:pStyle w:val="NoSpacing"/>
        <w:numPr>
          <w:ilvl w:val="0"/>
          <w:numId w:val="6"/>
        </w:numPr>
      </w:pPr>
      <w:r>
        <w:t>Equipment within the Institute for Cardiovascular and Metabolic Research (ICMR)</w:t>
      </w:r>
    </w:p>
    <w:p w14:paraId="5E921B9A" w14:textId="77777777" w:rsidR="002E561B" w:rsidRDefault="002E561B" w:rsidP="002E561B">
      <w:pPr>
        <w:pStyle w:val="NoSpacing"/>
        <w:numPr>
          <w:ilvl w:val="0"/>
          <w:numId w:val="6"/>
        </w:numPr>
      </w:pPr>
      <w:r>
        <w:t>Provision of research data storage and data archiving</w:t>
      </w:r>
    </w:p>
    <w:p w14:paraId="2639D31D" w14:textId="77777777" w:rsidR="002E561B" w:rsidRDefault="002E561B" w:rsidP="002E561B">
      <w:pPr>
        <w:pStyle w:val="NoSpacing"/>
        <w:numPr>
          <w:ilvl w:val="0"/>
          <w:numId w:val="6"/>
        </w:numPr>
      </w:pPr>
      <w:r>
        <w:t>Department of Meteorology IT infrastructure costs</w:t>
      </w:r>
    </w:p>
    <w:p w14:paraId="1364D628" w14:textId="77777777" w:rsidR="002E561B" w:rsidRDefault="002E561B" w:rsidP="002E561B">
      <w:pPr>
        <w:pStyle w:val="NoSpacing"/>
      </w:pPr>
    </w:p>
    <w:p w14:paraId="1E786F1C" w14:textId="77777777" w:rsidR="002E561B" w:rsidRDefault="002E561B" w:rsidP="00EA7AFB">
      <w:pPr>
        <w:pStyle w:val="NoSpacing"/>
        <w:jc w:val="both"/>
      </w:pPr>
      <w:r>
        <w:t>In many cases, a facility ‘unit’ will be a measure of time. For example, CAF instrument costs are typically based on per-hour rates. Units for other facilities may be measured, where appropriate, in terabytes or numbers of animals.</w:t>
      </w:r>
    </w:p>
    <w:p w14:paraId="0D4B4FF4" w14:textId="77777777" w:rsidR="002E561B" w:rsidRDefault="002E561B" w:rsidP="00EA7AFB">
      <w:pPr>
        <w:pStyle w:val="NoSpacing"/>
        <w:jc w:val="both"/>
      </w:pPr>
    </w:p>
    <w:p w14:paraId="1D4701C2" w14:textId="77777777" w:rsidR="002E561B" w:rsidRDefault="002E561B" w:rsidP="00EA7AFB">
      <w:pPr>
        <w:pStyle w:val="NoSpacing"/>
        <w:jc w:val="both"/>
      </w:pPr>
      <w:r>
        <w:t>In cases where a research project involves the processing or analysis of a number of research samples, applicants requesting facility use will need to estimate the time required to handle a single sample, and then multiply this amount of time by the number of samples involved, to obtain a total amount of time for which that facility will be required. Typically, facility units can only be costed in integer values. So, for example, if a process is estimated to take 3.7 hours, then 4.0 units of facility time are likely to be budgeted for.</w:t>
      </w:r>
    </w:p>
    <w:p w14:paraId="481B3935" w14:textId="77777777" w:rsidR="002E561B" w:rsidRDefault="002E561B" w:rsidP="00EA7AFB">
      <w:pPr>
        <w:pStyle w:val="NoSpacing"/>
        <w:jc w:val="both"/>
      </w:pPr>
    </w:p>
    <w:p w14:paraId="576E75E7" w14:textId="77777777" w:rsidR="002E561B" w:rsidRDefault="002E561B" w:rsidP="00EA7AFB">
      <w:pPr>
        <w:pStyle w:val="NoSpacing"/>
        <w:jc w:val="both"/>
      </w:pPr>
      <w:r>
        <w:t>When estimating time requirements, applicants should remember that funders will typically recognise that: 1 day = 7.5 hours and; 1 year = 1650 hours.</w:t>
      </w:r>
    </w:p>
    <w:p w14:paraId="43ADFBFB" w14:textId="77777777" w:rsidR="002E561B" w:rsidRDefault="002E561B" w:rsidP="002E561B">
      <w:pPr>
        <w:pStyle w:val="NoSpacing"/>
      </w:pPr>
    </w:p>
    <w:p w14:paraId="04A89697" w14:textId="77777777" w:rsidR="002E561B" w:rsidRDefault="002E561B" w:rsidP="00EA7AFB">
      <w:pPr>
        <w:pStyle w:val="NoSpacing"/>
        <w:jc w:val="both"/>
      </w:pPr>
      <w:r>
        <w:t>Note that facility unit costs are subject to change in response to inflation levels, and so prices may be amended at short notice. For this reason, it is worth checking facility unit costs each time a project budget is generated, rather than relying on budgets used previously.</w:t>
      </w:r>
    </w:p>
    <w:p w14:paraId="52A5E07E" w14:textId="77777777" w:rsidR="002E561B" w:rsidRDefault="002E561B" w:rsidP="00EA7AFB">
      <w:pPr>
        <w:pStyle w:val="NoSpacing"/>
        <w:jc w:val="both"/>
      </w:pPr>
    </w:p>
    <w:p w14:paraId="40A2201C" w14:textId="77777777" w:rsidR="002E561B" w:rsidRDefault="002E561B" w:rsidP="00EA7AFB">
      <w:pPr>
        <w:pStyle w:val="NoSpacing"/>
        <w:jc w:val="both"/>
      </w:pPr>
      <w:r>
        <w:t>If a research project will require a significant amount of time spent using a facility then it may be necessary to check that the facility will have capacity/availability for use during that period of time. In such cases applicants should also make sure that they have budgeted for sufficient person-time (be that technician, or academic/staff time) to allow the planned work to be completed.</w:t>
      </w:r>
    </w:p>
    <w:p w14:paraId="26B69FF3" w14:textId="77777777" w:rsidR="002E561B" w:rsidRDefault="002E561B" w:rsidP="00EA7AFB">
      <w:pPr>
        <w:pStyle w:val="NoSpacing"/>
        <w:jc w:val="both"/>
      </w:pPr>
    </w:p>
    <w:p w14:paraId="49DFA81D" w14:textId="4E5BC99A" w:rsidR="00FD611A" w:rsidRDefault="00FD611A" w:rsidP="00EA7AFB">
      <w:pPr>
        <w:pStyle w:val="NoSpacing"/>
        <w:jc w:val="both"/>
      </w:pPr>
      <w:r>
        <w:t>Specifically</w:t>
      </w:r>
      <w:r w:rsidRPr="00C83919">
        <w:t xml:space="preserve"> for EU projects,</w:t>
      </w:r>
      <w:r>
        <w:t xml:space="preserve"> please note that</w:t>
      </w:r>
      <w:r w:rsidRPr="00C83919">
        <w:t xml:space="preserve"> although internally charged facilities are eligible costs, they may not be fully recovered from the grant. </w:t>
      </w:r>
    </w:p>
    <w:p w14:paraId="3251E4EC" w14:textId="77777777" w:rsidR="000656AA" w:rsidRDefault="000656AA" w:rsidP="002E561B">
      <w:pPr>
        <w:pStyle w:val="NoSpacing"/>
      </w:pPr>
    </w:p>
    <w:p w14:paraId="4722F595" w14:textId="77777777" w:rsidR="002E561B" w:rsidRDefault="002E561B" w:rsidP="002E561B">
      <w:pPr>
        <w:pStyle w:val="NoSpacing"/>
      </w:pPr>
      <w:r>
        <w:rPr>
          <w:b/>
          <w:i/>
        </w:rPr>
        <w:t>Useful Links:</w:t>
      </w:r>
    </w:p>
    <w:p w14:paraId="233439D6" w14:textId="77777777" w:rsidR="002E561B" w:rsidRDefault="002E561B" w:rsidP="002E561B">
      <w:pPr>
        <w:pStyle w:val="NoSpacing"/>
      </w:pPr>
    </w:p>
    <w:p w14:paraId="259B7F04" w14:textId="77777777" w:rsidR="002E561B" w:rsidRDefault="00EA7AFB" w:rsidP="002E561B">
      <w:pPr>
        <w:pStyle w:val="NoSpacing"/>
      </w:pPr>
      <w:hyperlink r:id="rId30" w:history="1">
        <w:r w:rsidR="002E561B" w:rsidRPr="00D94B7F">
          <w:rPr>
            <w:rStyle w:val="Hyperlink"/>
          </w:rPr>
          <w:t>http://www.reading</w:t>
        </w:r>
        <w:r w:rsidR="002E561B" w:rsidRPr="00D94B7F">
          <w:rPr>
            <w:rStyle w:val="Hyperlink"/>
          </w:rPr>
          <w:t>.</w:t>
        </w:r>
        <w:r w:rsidR="002E561B" w:rsidRPr="00D94B7F">
          <w:rPr>
            <w:rStyle w:val="Hyperlink"/>
          </w:rPr>
          <w:t>ac.uk/caf/</w:t>
        </w:r>
      </w:hyperlink>
      <w:r w:rsidR="002E561B">
        <w:t xml:space="preserve"> - Chemical Analysis Facility</w:t>
      </w:r>
    </w:p>
    <w:p w14:paraId="59647FBD" w14:textId="77777777" w:rsidR="002E561B" w:rsidRDefault="002E561B" w:rsidP="002E561B">
      <w:pPr>
        <w:pStyle w:val="NoSpacing"/>
      </w:pPr>
    </w:p>
    <w:p w14:paraId="7F8553D7" w14:textId="2C0C09D1" w:rsidR="002E561B" w:rsidRDefault="00EA7AFB" w:rsidP="002E561B">
      <w:pPr>
        <w:pStyle w:val="NoSpacing"/>
      </w:pPr>
      <w:hyperlink r:id="rId31" w:history="1">
        <w:r w:rsidRPr="00406D02">
          <w:rPr>
            <w:rStyle w:val="Hyperlink"/>
          </w:rPr>
          <w:t>https://research.reading.ac.uk/cardiovascular-metabolic/</w:t>
        </w:r>
      </w:hyperlink>
      <w:r>
        <w:t xml:space="preserve"> </w:t>
      </w:r>
      <w:r w:rsidR="002E561B">
        <w:t>- ICMR and Hugh Sinclair facilities</w:t>
      </w:r>
    </w:p>
    <w:p w14:paraId="38EE6BAC" w14:textId="77777777" w:rsidR="002E561B" w:rsidRDefault="002E561B" w:rsidP="002E561B">
      <w:pPr>
        <w:pStyle w:val="NoSpacing"/>
      </w:pPr>
    </w:p>
    <w:p w14:paraId="2DA57609" w14:textId="3182CBC2" w:rsidR="002E561B" w:rsidRDefault="00EA7AFB" w:rsidP="002E561B">
      <w:pPr>
        <w:pStyle w:val="NoSpacing"/>
      </w:pPr>
      <w:hyperlink r:id="rId32" w:history="1">
        <w:r w:rsidRPr="00406D02">
          <w:rPr>
            <w:rStyle w:val="Hyperlink"/>
          </w:rPr>
          <w:t>https://www.reading.ac.uk/apd/facilities/farms</w:t>
        </w:r>
      </w:hyperlink>
      <w:r>
        <w:t xml:space="preserve"> </w:t>
      </w:r>
      <w:r w:rsidR="002E561B">
        <w:t>- University farms</w:t>
      </w:r>
    </w:p>
    <w:p w14:paraId="3FADF4DC" w14:textId="77777777" w:rsidR="002E561B" w:rsidRDefault="002E561B" w:rsidP="002E561B">
      <w:pPr>
        <w:pStyle w:val="NoSpacing"/>
      </w:pPr>
    </w:p>
    <w:p w14:paraId="0F97819A" w14:textId="77777777" w:rsidR="002E561B" w:rsidRPr="00765442" w:rsidRDefault="00EA7AFB" w:rsidP="002E561B">
      <w:pPr>
        <w:pStyle w:val="NoSpacing"/>
      </w:pPr>
      <w:hyperlink r:id="rId33" w:history="1">
        <w:r w:rsidR="002E561B" w:rsidRPr="00D94B7F">
          <w:rPr>
            <w:rStyle w:val="Hyperlink"/>
          </w:rPr>
          <w:t>http://www.reading.ac</w:t>
        </w:r>
        <w:r w:rsidR="002E561B" w:rsidRPr="00D94B7F">
          <w:rPr>
            <w:rStyle w:val="Hyperlink"/>
          </w:rPr>
          <w:t>.</w:t>
        </w:r>
        <w:r w:rsidR="002E561B" w:rsidRPr="00D94B7F">
          <w:rPr>
            <w:rStyle w:val="Hyperlink"/>
          </w:rPr>
          <w:t>uk/emlab/</w:t>
        </w:r>
      </w:hyperlink>
      <w:r w:rsidR="002E561B">
        <w:t xml:space="preserve"> - Electron Microscopy Lab</w:t>
      </w:r>
    </w:p>
    <w:p w14:paraId="6BFA3054" w14:textId="77777777" w:rsidR="002E561B" w:rsidRDefault="002E561B" w:rsidP="002E561B">
      <w:pPr>
        <w:pStyle w:val="NoSpacing"/>
      </w:pPr>
    </w:p>
    <w:p w14:paraId="2ABD0239" w14:textId="77777777" w:rsidR="00930547" w:rsidRPr="002E561B" w:rsidRDefault="00930547" w:rsidP="002E561B">
      <w:pPr>
        <w:pStyle w:val="NoSpacing"/>
      </w:pPr>
    </w:p>
    <w:sectPr w:rsidR="00930547" w:rsidRPr="002E561B">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F993" w14:textId="77777777" w:rsidR="00663DFD" w:rsidRDefault="00663DFD" w:rsidP="00803D9A">
      <w:pPr>
        <w:spacing w:after="0" w:line="240" w:lineRule="auto"/>
      </w:pPr>
      <w:r>
        <w:separator/>
      </w:r>
    </w:p>
  </w:endnote>
  <w:endnote w:type="continuationSeparator" w:id="0">
    <w:p w14:paraId="4F92D473" w14:textId="77777777" w:rsidR="00663DFD" w:rsidRDefault="00663DFD" w:rsidP="0080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C39" w14:textId="77777777" w:rsidR="00803D9A" w:rsidRDefault="00803D9A" w:rsidP="00803D9A">
    <w:pPr>
      <w:pStyle w:val="Footer"/>
    </w:pPr>
  </w:p>
  <w:p w14:paraId="6FD22E87" w14:textId="77777777" w:rsidR="00803D9A" w:rsidRPr="00B95BB0" w:rsidRDefault="00803D9A" w:rsidP="00803D9A">
    <w:pPr>
      <w:rPr>
        <w:color w:val="000000" w:themeColor="text1"/>
      </w:rPr>
    </w:pPr>
  </w:p>
  <w:p w14:paraId="6D4FD73E" w14:textId="77777777" w:rsidR="00803D9A" w:rsidRPr="00930547" w:rsidRDefault="00803D9A" w:rsidP="00803D9A">
    <w:pPr>
      <w:rPr>
        <w:b/>
        <w:color w:val="000000" w:themeColor="text1"/>
      </w:rPr>
    </w:pPr>
    <w:r w:rsidRPr="00930547">
      <w:rPr>
        <w:b/>
        <w:color w:val="000000" w:themeColor="text1"/>
      </w:rPr>
      <w:t>Disclaimer: Please check the funder’s criteria for eligible costs. Not all costs mentioned in this document are eligible for all funders.</w:t>
    </w:r>
  </w:p>
  <w:p w14:paraId="2E9B1DBE" w14:textId="77777777" w:rsidR="00803D9A" w:rsidRDefault="0080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7705" w14:textId="77777777" w:rsidR="00663DFD" w:rsidRDefault="00663DFD" w:rsidP="00803D9A">
      <w:pPr>
        <w:spacing w:after="0" w:line="240" w:lineRule="auto"/>
      </w:pPr>
      <w:r>
        <w:separator/>
      </w:r>
    </w:p>
  </w:footnote>
  <w:footnote w:type="continuationSeparator" w:id="0">
    <w:p w14:paraId="0CB1DE70" w14:textId="77777777" w:rsidR="00663DFD" w:rsidRDefault="00663DFD" w:rsidP="00803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580D"/>
    <w:multiLevelType w:val="hybridMultilevel"/>
    <w:tmpl w:val="438A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41684"/>
    <w:multiLevelType w:val="hybridMultilevel"/>
    <w:tmpl w:val="D800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B1CB8"/>
    <w:multiLevelType w:val="hybridMultilevel"/>
    <w:tmpl w:val="F22AB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A80F3A"/>
    <w:multiLevelType w:val="hybridMultilevel"/>
    <w:tmpl w:val="8D60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51B15"/>
    <w:multiLevelType w:val="hybridMultilevel"/>
    <w:tmpl w:val="376A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B7B65"/>
    <w:multiLevelType w:val="hybridMultilevel"/>
    <w:tmpl w:val="2D50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787568">
    <w:abstractNumId w:val="5"/>
  </w:num>
  <w:num w:numId="2" w16cid:durableId="863523124">
    <w:abstractNumId w:val="0"/>
  </w:num>
  <w:num w:numId="3" w16cid:durableId="1485511399">
    <w:abstractNumId w:val="3"/>
  </w:num>
  <w:num w:numId="4" w16cid:durableId="1452016479">
    <w:abstractNumId w:val="4"/>
  </w:num>
  <w:num w:numId="5" w16cid:durableId="781386533">
    <w:abstractNumId w:val="1"/>
  </w:num>
  <w:num w:numId="6" w16cid:durableId="64404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61"/>
    <w:rsid w:val="00015BD1"/>
    <w:rsid w:val="00021DF1"/>
    <w:rsid w:val="00046C46"/>
    <w:rsid w:val="00046E40"/>
    <w:rsid w:val="00052634"/>
    <w:rsid w:val="000656AA"/>
    <w:rsid w:val="00070EAD"/>
    <w:rsid w:val="000C0762"/>
    <w:rsid w:val="001120CB"/>
    <w:rsid w:val="0011656F"/>
    <w:rsid w:val="00163D46"/>
    <w:rsid w:val="001B2C0A"/>
    <w:rsid w:val="001E14F7"/>
    <w:rsid w:val="00220091"/>
    <w:rsid w:val="002328FD"/>
    <w:rsid w:val="002B3CB0"/>
    <w:rsid w:val="002C2393"/>
    <w:rsid w:val="002C5039"/>
    <w:rsid w:val="002E0245"/>
    <w:rsid w:val="002E356D"/>
    <w:rsid w:val="002E561B"/>
    <w:rsid w:val="002F63D4"/>
    <w:rsid w:val="00317A62"/>
    <w:rsid w:val="00341852"/>
    <w:rsid w:val="00353B3F"/>
    <w:rsid w:val="003550A7"/>
    <w:rsid w:val="00384941"/>
    <w:rsid w:val="00395C77"/>
    <w:rsid w:val="00397CDE"/>
    <w:rsid w:val="003C52B9"/>
    <w:rsid w:val="003D46B3"/>
    <w:rsid w:val="003E4313"/>
    <w:rsid w:val="003F0BCE"/>
    <w:rsid w:val="00430475"/>
    <w:rsid w:val="00451E26"/>
    <w:rsid w:val="0047276C"/>
    <w:rsid w:val="004867D3"/>
    <w:rsid w:val="004A76F9"/>
    <w:rsid w:val="004C0C8B"/>
    <w:rsid w:val="004C6446"/>
    <w:rsid w:val="0052361A"/>
    <w:rsid w:val="00554C61"/>
    <w:rsid w:val="005633D8"/>
    <w:rsid w:val="00576335"/>
    <w:rsid w:val="00622CD7"/>
    <w:rsid w:val="00624889"/>
    <w:rsid w:val="006301E5"/>
    <w:rsid w:val="006444C3"/>
    <w:rsid w:val="00660005"/>
    <w:rsid w:val="00663DFD"/>
    <w:rsid w:val="00670993"/>
    <w:rsid w:val="006C1D53"/>
    <w:rsid w:val="006D4893"/>
    <w:rsid w:val="007127B2"/>
    <w:rsid w:val="0073769A"/>
    <w:rsid w:val="00757C94"/>
    <w:rsid w:val="00761C4F"/>
    <w:rsid w:val="007904B3"/>
    <w:rsid w:val="007B0D64"/>
    <w:rsid w:val="007D569A"/>
    <w:rsid w:val="00803D9A"/>
    <w:rsid w:val="008212E5"/>
    <w:rsid w:val="008353D0"/>
    <w:rsid w:val="00866243"/>
    <w:rsid w:val="00873BF0"/>
    <w:rsid w:val="0087731C"/>
    <w:rsid w:val="008B075A"/>
    <w:rsid w:val="008C0C68"/>
    <w:rsid w:val="008C6FC1"/>
    <w:rsid w:val="008F4492"/>
    <w:rsid w:val="00911C0B"/>
    <w:rsid w:val="00917991"/>
    <w:rsid w:val="00930547"/>
    <w:rsid w:val="00943F77"/>
    <w:rsid w:val="00952C4D"/>
    <w:rsid w:val="00965001"/>
    <w:rsid w:val="009B6918"/>
    <w:rsid w:val="009D23A9"/>
    <w:rsid w:val="00A004D6"/>
    <w:rsid w:val="00A16604"/>
    <w:rsid w:val="00A619DA"/>
    <w:rsid w:val="00A80798"/>
    <w:rsid w:val="00AB5D7A"/>
    <w:rsid w:val="00AE2BCF"/>
    <w:rsid w:val="00AE3FC6"/>
    <w:rsid w:val="00AF57D1"/>
    <w:rsid w:val="00B3506B"/>
    <w:rsid w:val="00B66CEF"/>
    <w:rsid w:val="00B87265"/>
    <w:rsid w:val="00B95BB0"/>
    <w:rsid w:val="00C0376A"/>
    <w:rsid w:val="00CE319D"/>
    <w:rsid w:val="00D076ED"/>
    <w:rsid w:val="00D34A62"/>
    <w:rsid w:val="00D547D7"/>
    <w:rsid w:val="00D71F98"/>
    <w:rsid w:val="00DD11AA"/>
    <w:rsid w:val="00DD64BC"/>
    <w:rsid w:val="00DE13F0"/>
    <w:rsid w:val="00DE678C"/>
    <w:rsid w:val="00E2061B"/>
    <w:rsid w:val="00E57B01"/>
    <w:rsid w:val="00EA6C8E"/>
    <w:rsid w:val="00EA7AFB"/>
    <w:rsid w:val="00EA7F07"/>
    <w:rsid w:val="00EC2900"/>
    <w:rsid w:val="00EC4D03"/>
    <w:rsid w:val="00EF7318"/>
    <w:rsid w:val="00F06AE7"/>
    <w:rsid w:val="00F174F3"/>
    <w:rsid w:val="00F3041A"/>
    <w:rsid w:val="00F44481"/>
    <w:rsid w:val="00F62E10"/>
    <w:rsid w:val="00FD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40034"/>
  <w15:chartTrackingRefBased/>
  <w15:docId w15:val="{39651384-6A69-4908-A055-F3F91F73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7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C4F"/>
    <w:rPr>
      <w:color w:val="0000FF"/>
      <w:u w:val="single"/>
    </w:rPr>
  </w:style>
  <w:style w:type="character" w:styleId="FollowedHyperlink">
    <w:name w:val="FollowedHyperlink"/>
    <w:basedOn w:val="DefaultParagraphFont"/>
    <w:uiPriority w:val="99"/>
    <w:semiHidden/>
    <w:unhideWhenUsed/>
    <w:rsid w:val="00B66CEF"/>
    <w:rPr>
      <w:color w:val="954F72" w:themeColor="followedHyperlink"/>
      <w:u w:val="single"/>
    </w:rPr>
  </w:style>
  <w:style w:type="paragraph" w:styleId="ListParagraph">
    <w:name w:val="List Paragraph"/>
    <w:basedOn w:val="Normal"/>
    <w:uiPriority w:val="34"/>
    <w:qFormat/>
    <w:rsid w:val="00015BD1"/>
    <w:pPr>
      <w:ind w:left="720"/>
      <w:contextualSpacing/>
    </w:pPr>
  </w:style>
  <w:style w:type="character" w:styleId="CommentReference">
    <w:name w:val="annotation reference"/>
    <w:basedOn w:val="DefaultParagraphFont"/>
    <w:uiPriority w:val="99"/>
    <w:semiHidden/>
    <w:unhideWhenUsed/>
    <w:rsid w:val="00EA6C8E"/>
    <w:rPr>
      <w:sz w:val="16"/>
      <w:szCs w:val="16"/>
    </w:rPr>
  </w:style>
  <w:style w:type="paragraph" w:styleId="CommentText">
    <w:name w:val="annotation text"/>
    <w:basedOn w:val="Normal"/>
    <w:link w:val="CommentTextChar"/>
    <w:uiPriority w:val="99"/>
    <w:semiHidden/>
    <w:unhideWhenUsed/>
    <w:rsid w:val="00EA6C8E"/>
    <w:pPr>
      <w:spacing w:line="240" w:lineRule="auto"/>
    </w:pPr>
    <w:rPr>
      <w:sz w:val="20"/>
      <w:szCs w:val="20"/>
    </w:rPr>
  </w:style>
  <w:style w:type="character" w:customStyle="1" w:styleId="CommentTextChar">
    <w:name w:val="Comment Text Char"/>
    <w:basedOn w:val="DefaultParagraphFont"/>
    <w:link w:val="CommentText"/>
    <w:uiPriority w:val="99"/>
    <w:semiHidden/>
    <w:rsid w:val="00EA6C8E"/>
    <w:rPr>
      <w:sz w:val="20"/>
      <w:szCs w:val="20"/>
    </w:rPr>
  </w:style>
  <w:style w:type="paragraph" w:styleId="CommentSubject">
    <w:name w:val="annotation subject"/>
    <w:basedOn w:val="CommentText"/>
    <w:next w:val="CommentText"/>
    <w:link w:val="CommentSubjectChar"/>
    <w:uiPriority w:val="99"/>
    <w:semiHidden/>
    <w:unhideWhenUsed/>
    <w:rsid w:val="00EA6C8E"/>
    <w:rPr>
      <w:b/>
      <w:bCs/>
    </w:rPr>
  </w:style>
  <w:style w:type="character" w:customStyle="1" w:styleId="CommentSubjectChar">
    <w:name w:val="Comment Subject Char"/>
    <w:basedOn w:val="CommentTextChar"/>
    <w:link w:val="CommentSubject"/>
    <w:uiPriority w:val="99"/>
    <w:semiHidden/>
    <w:rsid w:val="00EA6C8E"/>
    <w:rPr>
      <w:b/>
      <w:bCs/>
      <w:sz w:val="20"/>
      <w:szCs w:val="20"/>
    </w:rPr>
  </w:style>
  <w:style w:type="paragraph" w:styleId="BalloonText">
    <w:name w:val="Balloon Text"/>
    <w:basedOn w:val="Normal"/>
    <w:link w:val="BalloonTextChar"/>
    <w:uiPriority w:val="99"/>
    <w:semiHidden/>
    <w:unhideWhenUsed/>
    <w:rsid w:val="00EA6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8E"/>
    <w:rPr>
      <w:rFonts w:ascii="Segoe UI" w:hAnsi="Segoe UI" w:cs="Segoe UI"/>
      <w:sz w:val="18"/>
      <w:szCs w:val="18"/>
    </w:rPr>
  </w:style>
  <w:style w:type="paragraph" w:styleId="Header">
    <w:name w:val="header"/>
    <w:basedOn w:val="Normal"/>
    <w:link w:val="HeaderChar"/>
    <w:uiPriority w:val="99"/>
    <w:unhideWhenUsed/>
    <w:rsid w:val="00803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9A"/>
  </w:style>
  <w:style w:type="paragraph" w:styleId="Footer">
    <w:name w:val="footer"/>
    <w:basedOn w:val="Normal"/>
    <w:link w:val="FooterChar"/>
    <w:uiPriority w:val="99"/>
    <w:unhideWhenUsed/>
    <w:rsid w:val="00803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9A"/>
  </w:style>
  <w:style w:type="paragraph" w:styleId="NormalWeb">
    <w:name w:val="Normal (Web)"/>
    <w:basedOn w:val="Normal"/>
    <w:uiPriority w:val="99"/>
    <w:semiHidden/>
    <w:unhideWhenUsed/>
    <w:rsid w:val="008C0C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E561B"/>
    <w:pPr>
      <w:spacing w:after="0" w:line="240" w:lineRule="auto"/>
    </w:pPr>
  </w:style>
  <w:style w:type="character" w:customStyle="1" w:styleId="Heading1Char">
    <w:name w:val="Heading 1 Char"/>
    <w:basedOn w:val="DefaultParagraphFont"/>
    <w:link w:val="Heading1"/>
    <w:uiPriority w:val="9"/>
    <w:rsid w:val="00D547D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547D7"/>
    <w:pPr>
      <w:outlineLvl w:val="9"/>
    </w:pPr>
    <w:rPr>
      <w:lang w:val="en-US"/>
    </w:rPr>
  </w:style>
  <w:style w:type="paragraph" w:styleId="TOC1">
    <w:name w:val="toc 1"/>
    <w:basedOn w:val="Normal"/>
    <w:next w:val="Normal"/>
    <w:autoRedefine/>
    <w:uiPriority w:val="39"/>
    <w:unhideWhenUsed/>
    <w:rsid w:val="00A80798"/>
    <w:pPr>
      <w:spacing w:after="100"/>
    </w:pPr>
  </w:style>
  <w:style w:type="character" w:styleId="UnresolvedMention">
    <w:name w:val="Unresolved Mention"/>
    <w:basedOn w:val="DefaultParagraphFont"/>
    <w:uiPriority w:val="99"/>
    <w:semiHidden/>
    <w:unhideWhenUsed/>
    <w:rsid w:val="0091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ading.ac.uk/internal/events-guide/planning-and-logisitics/evtg-audio-visual.aspx" TargetMode="External"/><Relationship Id="rId18" Type="http://schemas.openxmlformats.org/officeDocument/2006/relationships/hyperlink" Target="https://www.expedia.co.uk/" TargetMode="External"/><Relationship Id="rId26" Type="http://schemas.openxmlformats.org/officeDocument/2006/relationships/hyperlink" Target="http://www.reading.ac.uk/internal/humanresources/Recruitment/humres-employingstudents.aspx" TargetMode="External"/><Relationship Id="rId3" Type="http://schemas.openxmlformats.org/officeDocument/2006/relationships/styles" Target="styles.xml"/><Relationship Id="rId21" Type="http://schemas.openxmlformats.org/officeDocument/2006/relationships/hyperlink" Target="http://www.reading.ac.uk/internal/res/ResearchDataManagement/reas-ResearchDataManagemen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ading.ac.uk/internal/its/services/SupportforTeachingandLearning/AudioVisual.aspx" TargetMode="External"/><Relationship Id="rId17" Type="http://schemas.openxmlformats.org/officeDocument/2006/relationships/hyperlink" Target="http://www.britishairways.com/travel/home/public/en_gb" TargetMode="External"/><Relationship Id="rId25" Type="http://schemas.openxmlformats.org/officeDocument/2006/relationships/hyperlink" Target="https://www.reading.ac.uk/graduate-school/funding/fees/fees-new-students" TargetMode="External"/><Relationship Id="rId33" Type="http://schemas.openxmlformats.org/officeDocument/2006/relationships/hyperlink" Target="http://www.reading.ac.uk/emlab/" TargetMode="External"/><Relationship Id="rId2" Type="http://schemas.openxmlformats.org/officeDocument/2006/relationships/numbering" Target="numbering.xml"/><Relationship Id="rId16" Type="http://schemas.openxmlformats.org/officeDocument/2006/relationships/hyperlink" Target="https://www.thetrainline.com/" TargetMode="External"/><Relationship Id="rId20" Type="http://schemas.openxmlformats.org/officeDocument/2006/relationships/hyperlink" Target="http://www.reading.ac.uk/internal/its/services/CommunicationandCollaboration/WebServices.aspx" TargetMode="External"/><Relationship Id="rId29" Type="http://schemas.openxmlformats.org/officeDocument/2006/relationships/hyperlink" Target="https://www.reading.ac.uk/procurement/closed/documents-and-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spitalityuor.co.uk/venue-reading/conferences-meetings/" TargetMode="External"/><Relationship Id="rId24" Type="http://schemas.openxmlformats.org/officeDocument/2006/relationships/hyperlink" Target="https://www.ukri.org/what-we-offer/developing-people-and-skills/find-studentships-and-doctoral-training/changes-to-the-minimum-stipend-from-1-october-2022/" TargetMode="External"/><Relationship Id="rId32" Type="http://schemas.openxmlformats.org/officeDocument/2006/relationships/hyperlink" Target="https://www.reading.ac.uk/apd/facilities/farms" TargetMode="External"/><Relationship Id="rId5" Type="http://schemas.openxmlformats.org/officeDocument/2006/relationships/webSettings" Target="webSettings.xml"/><Relationship Id="rId15" Type="http://schemas.openxmlformats.org/officeDocument/2006/relationships/hyperlink" Target="https://www.reading.ac.uk/finance/-/media/project/functions/finance/documents/ffinanceexpenseshospitalitypolicy-2020.pdf" TargetMode="External"/><Relationship Id="rId23" Type="http://schemas.openxmlformats.org/officeDocument/2006/relationships/hyperlink" Target="https://www.reading.ac.uk/discover/-/media/files/new-twf-categorised-idea-june-2020-1st.pdf" TargetMode="External"/><Relationship Id="rId28" Type="http://schemas.openxmlformats.org/officeDocument/2006/relationships/hyperlink" Target="http://www.reading.ac.uk/dps/dps2-home.aspx" TargetMode="External"/><Relationship Id="rId36" Type="http://schemas.openxmlformats.org/officeDocument/2006/relationships/theme" Target="theme/theme1.xml"/><Relationship Id="rId10" Type="http://schemas.openxmlformats.org/officeDocument/2006/relationships/hyperlink" Target="https://www.reading.ac.uk/hospitality/closed/internal-hospitality" TargetMode="External"/><Relationship Id="rId19" Type="http://schemas.openxmlformats.org/officeDocument/2006/relationships/hyperlink" Target="http://www.booking.com/" TargetMode="External"/><Relationship Id="rId31" Type="http://schemas.openxmlformats.org/officeDocument/2006/relationships/hyperlink" Target="https://research.reading.ac.uk/cardiovascular-metabolic/" TargetMode="External"/><Relationship Id="rId4" Type="http://schemas.openxmlformats.org/officeDocument/2006/relationships/settings" Target="settings.xml"/><Relationship Id="rId9" Type="http://schemas.openxmlformats.org/officeDocument/2006/relationships/hyperlink" Target="http://www.venuereading.com/Meet/vr-meet-home.aspx" TargetMode="External"/><Relationship Id="rId14" Type="http://schemas.openxmlformats.org/officeDocument/2006/relationships/hyperlink" Target="http://www.ctm.travel" TargetMode="External"/><Relationship Id="rId22" Type="http://schemas.openxmlformats.org/officeDocument/2006/relationships/hyperlink" Target="http://www.reading.ac.uk/internal/res/ResearchDataManagement/PreservingandSharingData/reas-RDArchive.aspx" TargetMode="External"/><Relationship Id="rId27" Type="http://schemas.openxmlformats.org/officeDocument/2006/relationships/hyperlink" Target="http://www.reading.ac.uk/internal/humanresources/aboutus/humres-professionalandadvisory.aspx" TargetMode="External"/><Relationship Id="rId30" Type="http://schemas.openxmlformats.org/officeDocument/2006/relationships/hyperlink" Target="http://www.reading.ac.uk/caf/" TargetMode="External"/><Relationship Id="rId35" Type="http://schemas.openxmlformats.org/officeDocument/2006/relationships/fontTable" Target="fontTable.xml"/><Relationship Id="rId8" Type="http://schemas.openxmlformats.org/officeDocument/2006/relationships/hyperlink" Target="http://www.reading.ac.uk/internal/events-guide/evtg-getting-start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482C-89DA-4237-973C-FB31453B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Clarkson</dc:creator>
  <cp:keywords/>
  <dc:description/>
  <cp:lastModifiedBy>Colin Bulpitt</cp:lastModifiedBy>
  <cp:revision>2</cp:revision>
  <dcterms:created xsi:type="dcterms:W3CDTF">2023-04-26T15:07:00Z</dcterms:created>
  <dcterms:modified xsi:type="dcterms:W3CDTF">2023-04-26T15:07:00Z</dcterms:modified>
</cp:coreProperties>
</file>